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0A326" w14:textId="75A0B22B" w:rsidR="00FB2AF6" w:rsidRPr="00D90331" w:rsidRDefault="007346DB">
      <w:pPr>
        <w:rPr>
          <w:rFonts w:ascii="Century Gothic" w:hAnsi="Century Gothic"/>
          <w:b/>
          <w:sz w:val="32"/>
        </w:rPr>
      </w:pPr>
      <w:r w:rsidRPr="00D90331">
        <w:rPr>
          <w:rFonts w:ascii="Century Gothic" w:hAnsi="Century Gothic"/>
          <w:b/>
          <w:sz w:val="32"/>
        </w:rPr>
        <w:t>WRT 205</w:t>
      </w:r>
      <w:r w:rsidR="002433D1">
        <w:rPr>
          <w:rFonts w:ascii="Century Gothic" w:hAnsi="Century Gothic"/>
          <w:b/>
          <w:sz w:val="32"/>
        </w:rPr>
        <w:tab/>
      </w:r>
      <w:r w:rsidR="002433D1">
        <w:rPr>
          <w:rFonts w:ascii="Century Gothic" w:hAnsi="Century Gothic"/>
          <w:b/>
          <w:sz w:val="32"/>
        </w:rPr>
        <w:tab/>
      </w:r>
      <w:r w:rsidR="002433D1">
        <w:rPr>
          <w:rFonts w:ascii="Century Gothic" w:hAnsi="Century Gothic"/>
          <w:b/>
          <w:sz w:val="32"/>
        </w:rPr>
        <w:tab/>
      </w:r>
      <w:r w:rsidR="002433D1">
        <w:rPr>
          <w:rFonts w:ascii="Century Gothic" w:hAnsi="Century Gothic"/>
          <w:b/>
          <w:sz w:val="32"/>
        </w:rPr>
        <w:tab/>
      </w:r>
      <w:r w:rsidR="002433D1">
        <w:rPr>
          <w:rFonts w:ascii="Century Gothic" w:hAnsi="Century Gothic"/>
          <w:b/>
          <w:sz w:val="32"/>
        </w:rPr>
        <w:tab/>
      </w:r>
      <w:r w:rsidR="002433D1">
        <w:rPr>
          <w:rFonts w:ascii="Century Gothic" w:hAnsi="Century Gothic"/>
          <w:b/>
          <w:sz w:val="32"/>
        </w:rPr>
        <w:tab/>
      </w:r>
      <w:r w:rsidR="002433D1">
        <w:rPr>
          <w:rFonts w:ascii="Century Gothic" w:hAnsi="Century Gothic"/>
          <w:b/>
          <w:sz w:val="32"/>
        </w:rPr>
        <w:tab/>
      </w:r>
      <w:r w:rsidR="002433D1">
        <w:rPr>
          <w:rFonts w:ascii="Century Gothic" w:hAnsi="Century Gothic"/>
          <w:b/>
          <w:sz w:val="32"/>
        </w:rPr>
        <w:tab/>
      </w:r>
      <w:r w:rsidR="002433D1">
        <w:rPr>
          <w:rFonts w:ascii="Century Gothic" w:hAnsi="Century Gothic"/>
          <w:b/>
          <w:sz w:val="32"/>
        </w:rPr>
        <w:tab/>
      </w:r>
      <w:r w:rsidR="002433D1">
        <w:rPr>
          <w:rFonts w:ascii="Century Gothic" w:hAnsi="Century Gothic"/>
          <w:b/>
          <w:sz w:val="32"/>
        </w:rPr>
        <w:tab/>
      </w:r>
      <w:r w:rsidR="002433D1">
        <w:rPr>
          <w:rFonts w:ascii="Century Gothic" w:hAnsi="Century Gothic"/>
          <w:b/>
          <w:sz w:val="32"/>
        </w:rPr>
        <w:tab/>
      </w:r>
      <w:r w:rsidR="002433D1">
        <w:rPr>
          <w:rFonts w:ascii="Century Gothic" w:hAnsi="Century Gothic"/>
          <w:b/>
          <w:sz w:val="32"/>
        </w:rPr>
        <w:tab/>
        <w:t>Name_</w:t>
      </w:r>
      <w:r w:rsidR="00C2560C">
        <w:rPr>
          <w:rFonts w:ascii="Century Gothic" w:hAnsi="Century Gothic"/>
          <w:b/>
          <w:sz w:val="32"/>
        </w:rPr>
        <w:t>Edward Furcinto</w:t>
      </w:r>
      <w:r w:rsidR="002433D1">
        <w:rPr>
          <w:rFonts w:ascii="Century Gothic" w:hAnsi="Century Gothic"/>
          <w:b/>
          <w:sz w:val="32"/>
        </w:rPr>
        <w:t>_________</w:t>
      </w:r>
    </w:p>
    <w:p w14:paraId="01BFB6CF" w14:textId="77777777" w:rsidR="007346DB" w:rsidRPr="00D90331" w:rsidRDefault="00EF305E">
      <w:pPr>
        <w:rPr>
          <w:rFonts w:ascii="Century Gothic" w:hAnsi="Century Gothic"/>
          <w:b/>
          <w:sz w:val="32"/>
        </w:rPr>
      </w:pPr>
      <w:r w:rsidRPr="00D90331">
        <w:rPr>
          <w:rFonts w:ascii="Century Gothic" w:hAnsi="Century Gothic"/>
          <w:b/>
          <w:sz w:val="32"/>
        </w:rPr>
        <w:t>Rounding out the conversation</w:t>
      </w:r>
    </w:p>
    <w:p w14:paraId="32D4DA0C" w14:textId="77777777" w:rsidR="00D90331" w:rsidRPr="00D90331" w:rsidRDefault="00D90331">
      <w:pPr>
        <w:rPr>
          <w:rFonts w:ascii="Century Gothic" w:hAnsi="Century Gothic"/>
        </w:rPr>
      </w:pPr>
    </w:p>
    <w:p w14:paraId="2ABDD6B4" w14:textId="0A233B91" w:rsidR="00D90331" w:rsidRDefault="00D90331">
      <w:pPr>
        <w:rPr>
          <w:rFonts w:ascii="Century Gothic" w:hAnsi="Century Gothic"/>
        </w:rPr>
      </w:pPr>
      <w:r w:rsidRPr="00D90331">
        <w:rPr>
          <w:rFonts w:ascii="Century Gothic" w:hAnsi="Century Gothic"/>
        </w:rPr>
        <w:t>Use this worksheet to chart the shape of the conversation that you’re orchestrating in your annotated bibliography. By this point, you should be able to identify which source(s) will serve you in which capacities. Articulating that here will also help you to determine where there are gaps in your research that you will need to address.</w:t>
      </w:r>
      <w:r w:rsidR="00EF3132">
        <w:rPr>
          <w:rFonts w:ascii="Century Gothic" w:hAnsi="Century Gothic"/>
        </w:rPr>
        <w:t xml:space="preserve"> Please note that you may identify multiple uses for any given source (so that a source may appear in more than one block).</w:t>
      </w:r>
    </w:p>
    <w:p w14:paraId="4FE287CA" w14:textId="77777777" w:rsidR="00D90331" w:rsidRDefault="00D90331">
      <w:pPr>
        <w:rPr>
          <w:rFonts w:ascii="Century Gothic" w:hAnsi="Century Gothic"/>
        </w:rPr>
      </w:pPr>
    </w:p>
    <w:tbl>
      <w:tblPr>
        <w:tblStyle w:val="TableGrid"/>
        <w:tblW w:w="0" w:type="auto"/>
        <w:tblLook w:val="04A0" w:firstRow="1" w:lastRow="0" w:firstColumn="1" w:lastColumn="0" w:noHBand="0" w:noVBand="1"/>
      </w:tblPr>
      <w:tblGrid>
        <w:gridCol w:w="4796"/>
        <w:gridCol w:w="4797"/>
        <w:gridCol w:w="4797"/>
      </w:tblGrid>
      <w:tr w:rsidR="002433D1" w14:paraId="0AD2308A" w14:textId="77777777" w:rsidTr="00AF067D">
        <w:tc>
          <w:tcPr>
            <w:tcW w:w="4796" w:type="dxa"/>
          </w:tcPr>
          <w:p w14:paraId="1EF4B630" w14:textId="77777777" w:rsidR="002433D1" w:rsidRDefault="002433D1">
            <w:pPr>
              <w:rPr>
                <w:rFonts w:ascii="Century Gothic" w:hAnsi="Century Gothic"/>
              </w:rPr>
            </w:pPr>
            <w:r>
              <w:rPr>
                <w:rFonts w:ascii="Century Gothic" w:hAnsi="Century Gothic"/>
              </w:rPr>
              <w:t>Source(s) that provide examples/ illustrations I can explore</w:t>
            </w:r>
          </w:p>
          <w:p w14:paraId="2A96FC17" w14:textId="77777777" w:rsidR="00C2560C" w:rsidRDefault="00C2560C">
            <w:pPr>
              <w:rPr>
                <w:rFonts w:ascii="Century Gothic" w:hAnsi="Century Gothic"/>
              </w:rPr>
            </w:pPr>
          </w:p>
          <w:p w14:paraId="47670D44" w14:textId="25611966" w:rsidR="00C2560C" w:rsidRDefault="00C2560C" w:rsidP="00C2560C">
            <w:pPr>
              <w:pStyle w:val="Default"/>
              <w:spacing w:after="18"/>
              <w:rPr>
                <w:rStyle w:val="Hyperlink"/>
                <w:sz w:val="20"/>
                <w:szCs w:val="20"/>
              </w:rPr>
            </w:pPr>
            <w:r w:rsidRPr="00EA495F">
              <w:rPr>
                <w:sz w:val="20"/>
                <w:szCs w:val="20"/>
              </w:rPr>
              <w:t xml:space="preserve">Norstedt, M. (2019). Work and invisible disabilities: Practices, experiences and understandings of (non)disclosure. </w:t>
            </w:r>
            <w:r w:rsidRPr="00EA495F">
              <w:rPr>
                <w:i/>
                <w:iCs/>
                <w:sz w:val="20"/>
                <w:szCs w:val="20"/>
              </w:rPr>
              <w:t xml:space="preserve">Scandinavian </w:t>
            </w:r>
            <w:r>
              <w:rPr>
                <w:i/>
                <w:iCs/>
                <w:sz w:val="20"/>
                <w:szCs w:val="20"/>
              </w:rPr>
              <w:t xml:space="preserve"> </w:t>
            </w:r>
            <w:r w:rsidRPr="00EA495F">
              <w:rPr>
                <w:i/>
                <w:iCs/>
                <w:sz w:val="20"/>
                <w:szCs w:val="20"/>
              </w:rPr>
              <w:t>Journal of Disability Research</w:t>
            </w:r>
            <w:r w:rsidRPr="00EA495F">
              <w:rPr>
                <w:sz w:val="20"/>
                <w:szCs w:val="20"/>
              </w:rPr>
              <w:t xml:space="preserve">: SJDR, 21(1), 14-24. </w:t>
            </w:r>
            <w:r>
              <w:rPr>
                <w:sz w:val="20"/>
                <w:szCs w:val="20"/>
              </w:rPr>
              <w:t xml:space="preserve">    </w:t>
            </w:r>
            <w:hyperlink r:id="rId5" w:history="1">
              <w:r w:rsidRPr="001A5C32">
                <w:rPr>
                  <w:rStyle w:val="Hyperlink"/>
                  <w:sz w:val="20"/>
                  <w:szCs w:val="20"/>
                </w:rPr>
                <w:t>https://doi.org/10.16993/sjdr.550</w:t>
              </w:r>
            </w:hyperlink>
          </w:p>
          <w:p w14:paraId="19181AD3" w14:textId="4CC9D00B" w:rsidR="00F960C5" w:rsidRDefault="00F960C5" w:rsidP="00C2560C">
            <w:pPr>
              <w:pStyle w:val="Default"/>
              <w:spacing w:after="18"/>
              <w:rPr>
                <w:rStyle w:val="Hyperlink"/>
                <w:sz w:val="20"/>
                <w:szCs w:val="20"/>
              </w:rPr>
            </w:pPr>
          </w:p>
          <w:p w14:paraId="753F0318" w14:textId="58894903" w:rsidR="00F960C5" w:rsidRDefault="007B471F" w:rsidP="00C2560C">
            <w:pPr>
              <w:pStyle w:val="Default"/>
              <w:spacing w:after="18"/>
              <w:rPr>
                <w:rFonts w:ascii="Times New Roman" w:hAnsi="Times New Roman" w:cs="Times New Roman"/>
              </w:rPr>
            </w:pPr>
            <w:r w:rsidRPr="009A3C3D">
              <w:rPr>
                <w:rFonts w:ascii="Times New Roman" w:hAnsi="Times New Roman" w:cs="Times New Roman"/>
              </w:rPr>
              <w:t>Using both the perspectives of the employer representatives and the persons with invisible disabilities, the article contributes with new knowledge by showing that these two groups have different understandings of disclosure. In the interviews the employer representatives referred to ‘ideal’ institutional practices and understandings in line with laws and guidelines, while the persons with invisible disabilities based their understandings of disclosure on their past experiences. The tension between the different understandings indicate that employers need a greater knowledge of the problem's persons with invisible disabilities face in working life and of how disclosure affects their work situations.</w:t>
            </w:r>
          </w:p>
          <w:p w14:paraId="25C2E629" w14:textId="41048637" w:rsidR="00B04CD2" w:rsidRDefault="00B04CD2" w:rsidP="00C2560C">
            <w:pPr>
              <w:pStyle w:val="Default"/>
              <w:spacing w:after="18"/>
              <w:rPr>
                <w:rFonts w:ascii="Times New Roman" w:hAnsi="Times New Roman" w:cs="Times New Roman"/>
              </w:rPr>
            </w:pPr>
          </w:p>
          <w:p w14:paraId="659DC538" w14:textId="77777777" w:rsidR="00B04CD2" w:rsidRPr="009A3C3D" w:rsidRDefault="00B04CD2" w:rsidP="00C2560C">
            <w:pPr>
              <w:pStyle w:val="Default"/>
              <w:spacing w:after="18"/>
              <w:rPr>
                <w:rFonts w:ascii="Times New Roman" w:hAnsi="Times New Roman" w:cs="Times New Roman"/>
              </w:rPr>
            </w:pPr>
          </w:p>
          <w:p w14:paraId="5774D6B9" w14:textId="77777777" w:rsidR="00C2560C" w:rsidRDefault="00C2560C" w:rsidP="00C2560C">
            <w:pPr>
              <w:pStyle w:val="Default"/>
              <w:spacing w:after="18"/>
              <w:rPr>
                <w:sz w:val="20"/>
                <w:szCs w:val="20"/>
              </w:rPr>
            </w:pPr>
          </w:p>
          <w:p w14:paraId="6E0A6DAC" w14:textId="14247431" w:rsidR="00C2560C" w:rsidRDefault="00C2560C" w:rsidP="00C2560C">
            <w:pPr>
              <w:rPr>
                <w:rFonts w:ascii="Times New Roman" w:hAnsi="Times New Roman" w:cs="Times New Roman"/>
                <w:color w:val="1A1A1A"/>
                <w:shd w:val="clear" w:color="auto" w:fill="FFFFFF"/>
              </w:rPr>
            </w:pPr>
            <w:r w:rsidRPr="00B366C2">
              <w:rPr>
                <w:rFonts w:ascii="Times New Roman" w:hAnsi="Times New Roman" w:cs="Times New Roman"/>
                <w:color w:val="1A1A1A"/>
                <w:shd w:val="clear" w:color="auto" w:fill="FFFFFF"/>
              </w:rPr>
              <w:lastRenderedPageBreak/>
              <w:t xml:space="preserve">Gray, A. W., Parkinson, B., &amp; Dunbar, R. I. (2015). Laughter’s influence on the intimacy of self-disclosure. </w:t>
            </w:r>
            <w:r w:rsidRPr="00B366C2">
              <w:rPr>
                <w:rStyle w:val="Emphasis"/>
                <w:rFonts w:ascii="Times New Roman" w:hAnsi="Times New Roman" w:cs="Times New Roman"/>
                <w:color w:val="1A1A1A"/>
                <w:shd w:val="clear" w:color="auto" w:fill="FFFFFF"/>
              </w:rPr>
              <w:t>Human Nature: An Interdisciplinary Biosocial Perspective, 26</w:t>
            </w:r>
            <w:r w:rsidRPr="00B366C2">
              <w:rPr>
                <w:rFonts w:ascii="Times New Roman" w:hAnsi="Times New Roman" w:cs="Times New Roman"/>
                <w:color w:val="1A1A1A"/>
                <w:shd w:val="clear" w:color="auto" w:fill="FFFFFF"/>
              </w:rPr>
              <w:t>(1), 28-43.</w:t>
            </w:r>
          </w:p>
          <w:p w14:paraId="558A2E00" w14:textId="01CF238A" w:rsidR="00CB6A20" w:rsidRDefault="00CB6A20" w:rsidP="00C2560C">
            <w:pPr>
              <w:rPr>
                <w:rFonts w:ascii="Times New Roman" w:hAnsi="Times New Roman" w:cs="Times New Roman"/>
                <w:color w:val="1A1A1A"/>
                <w:shd w:val="clear" w:color="auto" w:fill="FFFFFF"/>
              </w:rPr>
            </w:pPr>
          </w:p>
          <w:p w14:paraId="5D0D6DE9" w14:textId="77777777" w:rsidR="00DA61FA" w:rsidRDefault="00DA61FA" w:rsidP="00DA61FA">
            <w:pPr>
              <w:rPr>
                <w:rFonts w:ascii="Times New Roman" w:hAnsi="Times New Roman" w:cs="Times New Roman"/>
              </w:rPr>
            </w:pPr>
            <w:r w:rsidRPr="00B366C2">
              <w:rPr>
                <w:rFonts w:ascii="Times New Roman" w:hAnsi="Times New Roman" w:cs="Times New Roman"/>
              </w:rPr>
              <w:t>I</w:t>
            </w:r>
            <w:r>
              <w:rPr>
                <w:rFonts w:ascii="Times New Roman" w:hAnsi="Times New Roman" w:cs="Times New Roman"/>
              </w:rPr>
              <w:t>t is suggested by current research theory that</w:t>
            </w:r>
            <w:r w:rsidRPr="00B366C2">
              <w:rPr>
                <w:rFonts w:ascii="Times New Roman" w:hAnsi="Times New Roman" w:cs="Times New Roman"/>
              </w:rPr>
              <w:t xml:space="preserve"> laughter works to build relationships between </w:t>
            </w:r>
            <w:r>
              <w:rPr>
                <w:rFonts w:ascii="Times New Roman" w:hAnsi="Times New Roman" w:cs="Times New Roman"/>
              </w:rPr>
              <w:t>people. Therefore</w:t>
            </w:r>
            <w:r w:rsidRPr="00B366C2">
              <w:rPr>
                <w:rFonts w:ascii="Times New Roman" w:hAnsi="Times New Roman" w:cs="Times New Roman"/>
              </w:rPr>
              <w:t xml:space="preserve">, laughter should be connected to interpersonal </w:t>
            </w:r>
            <w:r>
              <w:rPr>
                <w:rFonts w:ascii="Times New Roman" w:hAnsi="Times New Roman" w:cs="Times New Roman"/>
              </w:rPr>
              <w:t>connection important</w:t>
            </w:r>
            <w:r w:rsidRPr="00B366C2">
              <w:rPr>
                <w:rFonts w:ascii="Times New Roman" w:hAnsi="Times New Roman" w:cs="Times New Roman"/>
              </w:rPr>
              <w:t xml:space="preserve"> to </w:t>
            </w:r>
            <w:r>
              <w:rPr>
                <w:rFonts w:ascii="Times New Roman" w:hAnsi="Times New Roman" w:cs="Times New Roman"/>
              </w:rPr>
              <w:t>the</w:t>
            </w:r>
            <w:r w:rsidRPr="00B366C2">
              <w:rPr>
                <w:rFonts w:ascii="Times New Roman" w:hAnsi="Times New Roman" w:cs="Times New Roman"/>
              </w:rPr>
              <w:t xml:space="preserve"> development</w:t>
            </w:r>
            <w:r>
              <w:rPr>
                <w:rFonts w:ascii="Times New Roman" w:hAnsi="Times New Roman" w:cs="Times New Roman"/>
              </w:rPr>
              <w:t xml:space="preserve"> of relationships</w:t>
            </w:r>
            <w:r w:rsidRPr="00B366C2">
              <w:rPr>
                <w:rFonts w:ascii="Times New Roman" w:hAnsi="Times New Roman" w:cs="Times New Roman"/>
              </w:rPr>
              <w:t xml:space="preserve">. </w:t>
            </w:r>
            <w:r>
              <w:rPr>
                <w:rFonts w:ascii="Times New Roman" w:hAnsi="Times New Roman" w:cs="Times New Roman"/>
              </w:rPr>
              <w:t xml:space="preserve">To develop close social bonds, disclosing behaviors are seen as a way to help this process. It is thought that the act of laughing could momentarily reduce a laugher’s reluctance to disclose personal information. In this experiment, </w:t>
            </w:r>
            <w:r w:rsidRPr="00B366C2">
              <w:rPr>
                <w:rFonts w:ascii="Times New Roman" w:hAnsi="Times New Roman" w:cs="Times New Roman"/>
              </w:rPr>
              <w:t xml:space="preserve">characteristics of self-disclosing statements produced by those who had watched </w:t>
            </w:r>
            <w:r>
              <w:rPr>
                <w:rFonts w:ascii="Times New Roman" w:hAnsi="Times New Roman" w:cs="Times New Roman"/>
              </w:rPr>
              <w:t xml:space="preserve">previously </w:t>
            </w:r>
            <w:r w:rsidRPr="00B366C2">
              <w:rPr>
                <w:rFonts w:ascii="Times New Roman" w:hAnsi="Times New Roman" w:cs="Times New Roman"/>
              </w:rPr>
              <w:t xml:space="preserve">one of three video clips differed in the extent to which they elicited laughter and positive affect. The results show that disclosure intimacy is significantly higher after laughter than in the control </w:t>
            </w:r>
            <w:r>
              <w:rPr>
                <w:rFonts w:ascii="Times New Roman" w:hAnsi="Times New Roman" w:cs="Times New Roman"/>
              </w:rPr>
              <w:t>group. This</w:t>
            </w:r>
            <w:r w:rsidRPr="00B366C2">
              <w:rPr>
                <w:rFonts w:ascii="Times New Roman" w:hAnsi="Times New Roman" w:cs="Times New Roman"/>
              </w:rPr>
              <w:t xml:space="preserve"> sugges</w:t>
            </w:r>
            <w:r>
              <w:rPr>
                <w:rFonts w:ascii="Times New Roman" w:hAnsi="Times New Roman" w:cs="Times New Roman"/>
              </w:rPr>
              <w:t>ts</w:t>
            </w:r>
            <w:r w:rsidRPr="00B366C2">
              <w:rPr>
                <w:rFonts w:ascii="Times New Roman" w:hAnsi="Times New Roman" w:cs="Times New Roman"/>
              </w:rPr>
              <w:t xml:space="preserve"> that this effect may be due, in part, to laughter itself</w:t>
            </w:r>
            <w:r>
              <w:rPr>
                <w:rFonts w:ascii="Times New Roman" w:hAnsi="Times New Roman" w:cs="Times New Roman"/>
              </w:rPr>
              <w:t>. On the other hand, the research further indicates that an individual can feel shame for being laughed at for a disability.</w:t>
            </w:r>
          </w:p>
          <w:p w14:paraId="02930402" w14:textId="77777777" w:rsidR="00DA61FA" w:rsidRPr="00B366C2" w:rsidRDefault="00DA61FA" w:rsidP="00C2560C">
            <w:pPr>
              <w:rPr>
                <w:rFonts w:ascii="Times New Roman" w:hAnsi="Times New Roman" w:cs="Times New Roman"/>
                <w:color w:val="1A1A1A"/>
                <w:shd w:val="clear" w:color="auto" w:fill="FFFFFF"/>
              </w:rPr>
            </w:pPr>
          </w:p>
          <w:p w14:paraId="44ED7342" w14:textId="77777777" w:rsidR="00C2560C" w:rsidRDefault="00C2560C">
            <w:pPr>
              <w:rPr>
                <w:rFonts w:ascii="Century Gothic" w:hAnsi="Century Gothic"/>
              </w:rPr>
            </w:pPr>
          </w:p>
          <w:p w14:paraId="0C2953B9" w14:textId="4F0C13F8" w:rsidR="00C2560C" w:rsidRDefault="00C2560C">
            <w:pPr>
              <w:rPr>
                <w:rFonts w:ascii="Century Gothic" w:hAnsi="Century Gothic"/>
              </w:rPr>
            </w:pPr>
          </w:p>
          <w:p w14:paraId="1D66F38D" w14:textId="119A35A0" w:rsidR="00B04CD2" w:rsidRDefault="00B04CD2">
            <w:pPr>
              <w:rPr>
                <w:rFonts w:ascii="Century Gothic" w:hAnsi="Century Gothic"/>
              </w:rPr>
            </w:pPr>
          </w:p>
          <w:p w14:paraId="640806F3" w14:textId="22FF9197" w:rsidR="00B04CD2" w:rsidRDefault="00B04CD2">
            <w:pPr>
              <w:rPr>
                <w:rFonts w:ascii="Century Gothic" w:hAnsi="Century Gothic"/>
              </w:rPr>
            </w:pPr>
          </w:p>
          <w:p w14:paraId="41810441" w14:textId="0D8D0683" w:rsidR="00B04CD2" w:rsidRDefault="00B04CD2">
            <w:pPr>
              <w:rPr>
                <w:rFonts w:ascii="Century Gothic" w:hAnsi="Century Gothic"/>
              </w:rPr>
            </w:pPr>
          </w:p>
          <w:p w14:paraId="763F7B58" w14:textId="7C6BE22A" w:rsidR="00B04CD2" w:rsidRDefault="00B04CD2">
            <w:pPr>
              <w:rPr>
                <w:rFonts w:ascii="Century Gothic" w:hAnsi="Century Gothic"/>
              </w:rPr>
            </w:pPr>
          </w:p>
          <w:p w14:paraId="51D0678F" w14:textId="4321ADFE" w:rsidR="00B04CD2" w:rsidRDefault="00B04CD2">
            <w:pPr>
              <w:rPr>
                <w:rFonts w:ascii="Century Gothic" w:hAnsi="Century Gothic"/>
              </w:rPr>
            </w:pPr>
          </w:p>
          <w:p w14:paraId="7E1CC954" w14:textId="77777777" w:rsidR="00B04CD2" w:rsidRDefault="00B04CD2">
            <w:pPr>
              <w:rPr>
                <w:rFonts w:ascii="Century Gothic" w:hAnsi="Century Gothic"/>
              </w:rPr>
            </w:pPr>
          </w:p>
          <w:p w14:paraId="40802667" w14:textId="646B8710" w:rsidR="00C2560C" w:rsidRDefault="00C2560C">
            <w:pPr>
              <w:rPr>
                <w:rFonts w:ascii="Century Gothic" w:hAnsi="Century Gothic"/>
              </w:rPr>
            </w:pPr>
          </w:p>
        </w:tc>
        <w:tc>
          <w:tcPr>
            <w:tcW w:w="4797" w:type="dxa"/>
          </w:tcPr>
          <w:p w14:paraId="733E81C3" w14:textId="77777777" w:rsidR="002433D1" w:rsidRPr="00EE592A" w:rsidRDefault="002433D1" w:rsidP="009C24D2">
            <w:pPr>
              <w:rPr>
                <w:rFonts w:ascii="Times New Roman" w:hAnsi="Times New Roman" w:cs="Times New Roman"/>
              </w:rPr>
            </w:pPr>
            <w:r w:rsidRPr="00EE592A">
              <w:rPr>
                <w:rFonts w:ascii="Times New Roman" w:hAnsi="Times New Roman" w:cs="Times New Roman"/>
              </w:rPr>
              <w:lastRenderedPageBreak/>
              <w:t xml:space="preserve">Source(s) that provide useful vocabulary or theory I can </w:t>
            </w:r>
            <w:r w:rsidR="009C24D2" w:rsidRPr="00EE592A">
              <w:rPr>
                <w:rFonts w:ascii="Times New Roman" w:hAnsi="Times New Roman" w:cs="Times New Roman"/>
              </w:rPr>
              <w:t>borrow</w:t>
            </w:r>
          </w:p>
          <w:p w14:paraId="1D793DC3" w14:textId="77777777" w:rsidR="00C2560C" w:rsidRPr="00EE592A" w:rsidRDefault="00C2560C" w:rsidP="009C24D2">
            <w:pPr>
              <w:rPr>
                <w:rFonts w:ascii="Times New Roman" w:hAnsi="Times New Roman" w:cs="Times New Roman"/>
              </w:rPr>
            </w:pPr>
          </w:p>
          <w:p w14:paraId="605B3F22" w14:textId="77777777" w:rsidR="00C2560C" w:rsidRPr="00EE592A" w:rsidRDefault="00C2560C" w:rsidP="009C24D2">
            <w:pPr>
              <w:rPr>
                <w:rFonts w:ascii="Times New Roman" w:hAnsi="Times New Roman" w:cs="Times New Roman"/>
              </w:rPr>
            </w:pPr>
          </w:p>
          <w:p w14:paraId="690A0064" w14:textId="77777777" w:rsidR="00C2560C" w:rsidRPr="00EE592A" w:rsidRDefault="00C2560C" w:rsidP="009C24D2">
            <w:pPr>
              <w:rPr>
                <w:rFonts w:ascii="Times New Roman" w:hAnsi="Times New Roman" w:cs="Times New Roman"/>
              </w:rPr>
            </w:pPr>
            <w:r w:rsidRPr="00EE592A">
              <w:rPr>
                <w:rFonts w:ascii="Times New Roman" w:hAnsi="Times New Roman" w:cs="Times New Roman"/>
              </w:rPr>
              <w:t xml:space="preserve">Greenberg, M., &amp; Smith, R. A. (2016). Support seeking or familial obligation: An investigation of motives for disclosing genetic test results. </w:t>
            </w:r>
            <w:r w:rsidRPr="00EE592A">
              <w:rPr>
                <w:rFonts w:ascii="Times New Roman" w:hAnsi="Times New Roman" w:cs="Times New Roman"/>
                <w:i/>
                <w:iCs/>
              </w:rPr>
              <w:t>Health Communication, 31</w:t>
            </w:r>
            <w:r w:rsidRPr="00EE592A">
              <w:rPr>
                <w:rFonts w:ascii="Times New Roman" w:hAnsi="Times New Roman" w:cs="Times New Roman"/>
              </w:rPr>
              <w:t>(6), 668-78.</w:t>
            </w:r>
          </w:p>
          <w:p w14:paraId="70DC4444" w14:textId="3311383F" w:rsidR="00E42D9A" w:rsidRPr="00EE592A" w:rsidRDefault="00E42D9A" w:rsidP="009C24D2">
            <w:pPr>
              <w:rPr>
                <w:rFonts w:ascii="Times New Roman" w:hAnsi="Times New Roman" w:cs="Times New Roman"/>
              </w:rPr>
            </w:pPr>
          </w:p>
          <w:p w14:paraId="1E97E15A" w14:textId="77777777" w:rsidR="00E42D9A" w:rsidRPr="00EE592A" w:rsidRDefault="00E15D40" w:rsidP="009C24D2">
            <w:pPr>
              <w:rPr>
                <w:rFonts w:ascii="Times New Roman" w:hAnsi="Times New Roman" w:cs="Times New Roman"/>
              </w:rPr>
            </w:pPr>
            <w:r w:rsidRPr="00EE592A">
              <w:rPr>
                <w:rFonts w:ascii="Times New Roman" w:hAnsi="Times New Roman" w:cs="Times New Roman"/>
              </w:rPr>
              <w:t xml:space="preserve">Research </w:t>
            </w:r>
            <w:r w:rsidR="00E42D9A" w:rsidRPr="00EE592A">
              <w:rPr>
                <w:rFonts w:ascii="Times New Roman" w:hAnsi="Times New Roman" w:cs="Times New Roman"/>
              </w:rPr>
              <w:t>found in their work that young people have a tendency to see more value in disclosure than those who are older. This tendency is in part based on upbringing and the perceived acceptability of disclosing personal information, such as genetic testing</w:t>
            </w:r>
            <w:r w:rsidRPr="00EE592A">
              <w:rPr>
                <w:rFonts w:ascii="Times New Roman" w:hAnsi="Times New Roman" w:cs="Times New Roman"/>
              </w:rPr>
              <w:t>.</w:t>
            </w:r>
          </w:p>
          <w:p w14:paraId="60F02AA8" w14:textId="77777777" w:rsidR="000D7AFA" w:rsidRPr="00EE592A" w:rsidRDefault="000D7AFA" w:rsidP="009C24D2">
            <w:pPr>
              <w:rPr>
                <w:rFonts w:ascii="Times New Roman" w:hAnsi="Times New Roman" w:cs="Times New Roman"/>
              </w:rPr>
            </w:pPr>
          </w:p>
          <w:p w14:paraId="612FE541" w14:textId="576DC073" w:rsidR="000D7AFA" w:rsidRPr="00EE592A" w:rsidRDefault="000D7AFA" w:rsidP="009C24D2">
            <w:pPr>
              <w:rPr>
                <w:rFonts w:ascii="Times New Roman" w:hAnsi="Times New Roman" w:cs="Times New Roman"/>
              </w:rPr>
            </w:pPr>
            <w:r w:rsidRPr="00EE592A">
              <w:rPr>
                <w:rFonts w:ascii="Times New Roman" w:hAnsi="Times New Roman" w:cs="Times New Roman"/>
              </w:rPr>
              <w:t xml:space="preserve">Santuzzi, A. M., Waltz, P. R., Finkelstein, L. M., &amp; Rupp, D. E. (2014). Invisible disabilities: Unique challenges for employees and organizations. </w:t>
            </w:r>
            <w:r w:rsidRPr="00EE592A">
              <w:rPr>
                <w:rFonts w:ascii="Times New Roman" w:hAnsi="Times New Roman" w:cs="Times New Roman"/>
                <w:i/>
                <w:iCs/>
              </w:rPr>
              <w:t xml:space="preserve">Industrial and Organizational Psychology, </w:t>
            </w:r>
            <w:r w:rsidRPr="00EE592A">
              <w:rPr>
                <w:rFonts w:ascii="Times New Roman" w:hAnsi="Times New Roman" w:cs="Times New Roman"/>
              </w:rPr>
              <w:t xml:space="preserve">7(2), 204-219. </w:t>
            </w:r>
            <w:hyperlink r:id="rId6" w:history="1">
              <w:r w:rsidRPr="00EE592A">
                <w:rPr>
                  <w:rStyle w:val="Hyperlink"/>
                  <w:rFonts w:ascii="Times New Roman" w:hAnsi="Times New Roman" w:cs="Times New Roman"/>
                </w:rPr>
                <w:t>https://doi.org/10.1111/iops.12134</w:t>
              </w:r>
            </w:hyperlink>
          </w:p>
          <w:p w14:paraId="77F89CAA" w14:textId="3D49EA7D" w:rsidR="000D7AFA" w:rsidRPr="00EE592A" w:rsidRDefault="000D7AFA" w:rsidP="009C24D2">
            <w:pPr>
              <w:rPr>
                <w:rFonts w:ascii="Times New Roman" w:hAnsi="Times New Roman" w:cs="Times New Roman"/>
              </w:rPr>
            </w:pPr>
          </w:p>
          <w:p w14:paraId="5168003E" w14:textId="4DA63545" w:rsidR="000D7AFA" w:rsidRDefault="00EE592A" w:rsidP="000D7386">
            <w:pPr>
              <w:rPr>
                <w:rFonts w:ascii="Times New Roman" w:hAnsi="Times New Roman" w:cs="Times New Roman"/>
              </w:rPr>
            </w:pPr>
            <w:r w:rsidRPr="00EE592A">
              <w:rPr>
                <w:rFonts w:ascii="Times New Roman" w:hAnsi="Times New Roman" w:cs="Times New Roman"/>
              </w:rPr>
              <w:t xml:space="preserve">Workers with invisible disabilities encounter unique challenges compared to workers with other concealable identities and even workers with visible disabilities. These challenges occur not only in the decisions of whether to disclose the invisible disability in the </w:t>
            </w:r>
            <w:r w:rsidRPr="00EE592A">
              <w:rPr>
                <w:rFonts w:ascii="Times New Roman" w:hAnsi="Times New Roman" w:cs="Times New Roman"/>
              </w:rPr>
              <w:lastRenderedPageBreak/>
              <w:t xml:space="preserve">workplace but also in the detection and acceptance of having a disability to disclose. Disclosure of disabilities in the workplace likely has implications for the individual worker's health, social relationships, and work performance as well as for an employing organization's outcomes. </w:t>
            </w:r>
            <w:r w:rsidR="000D7386">
              <w:rPr>
                <w:rFonts w:ascii="Times New Roman" w:hAnsi="Times New Roman" w:cs="Times New Roman"/>
              </w:rPr>
              <w:t xml:space="preserve">A </w:t>
            </w:r>
            <w:r w:rsidR="000D7386" w:rsidRPr="000D7386">
              <w:rPr>
                <w:rFonts w:ascii="Times New Roman" w:hAnsi="Times New Roman" w:cs="Times New Roman"/>
              </w:rPr>
              <w:t>key issue is the requirement that</w:t>
            </w:r>
            <w:r w:rsidR="000D7386">
              <w:rPr>
                <w:rFonts w:ascii="Times New Roman" w:hAnsi="Times New Roman" w:cs="Times New Roman"/>
              </w:rPr>
              <w:t xml:space="preserve"> </w:t>
            </w:r>
            <w:r w:rsidR="000D7386" w:rsidRPr="000D7386">
              <w:rPr>
                <w:rFonts w:ascii="Times New Roman" w:hAnsi="Times New Roman" w:cs="Times New Roman"/>
              </w:rPr>
              <w:t>workers with invisible disabilities disclose</w:t>
            </w:r>
            <w:r w:rsidR="000D7386">
              <w:rPr>
                <w:rFonts w:ascii="Times New Roman" w:hAnsi="Times New Roman" w:cs="Times New Roman"/>
              </w:rPr>
              <w:t xml:space="preserve"> </w:t>
            </w:r>
            <w:r w:rsidR="000D7386" w:rsidRPr="000D7386">
              <w:rPr>
                <w:rFonts w:ascii="Times New Roman" w:hAnsi="Times New Roman" w:cs="Times New Roman"/>
              </w:rPr>
              <w:t>the disability to an employer in order to be</w:t>
            </w:r>
            <w:r w:rsidR="000D7386">
              <w:rPr>
                <w:rFonts w:ascii="Times New Roman" w:hAnsi="Times New Roman" w:cs="Times New Roman"/>
              </w:rPr>
              <w:t xml:space="preserve"> </w:t>
            </w:r>
            <w:r w:rsidR="000D7386" w:rsidRPr="000D7386">
              <w:rPr>
                <w:rFonts w:ascii="Times New Roman" w:hAnsi="Times New Roman" w:cs="Times New Roman"/>
              </w:rPr>
              <w:t>covered by legislation</w:t>
            </w:r>
            <w:r w:rsidR="000D7386">
              <w:rPr>
                <w:rFonts w:ascii="Times New Roman" w:hAnsi="Times New Roman" w:cs="Times New Roman"/>
              </w:rPr>
              <w:t>.</w:t>
            </w:r>
          </w:p>
          <w:p w14:paraId="0F4E04FA" w14:textId="1E58D820" w:rsidR="00EE592A" w:rsidRPr="00EE592A" w:rsidRDefault="00EE592A" w:rsidP="00EE592A">
            <w:pPr>
              <w:rPr>
                <w:rFonts w:ascii="Times New Roman" w:hAnsi="Times New Roman" w:cs="Times New Roman"/>
              </w:rPr>
            </w:pPr>
          </w:p>
        </w:tc>
        <w:tc>
          <w:tcPr>
            <w:tcW w:w="4797" w:type="dxa"/>
          </w:tcPr>
          <w:p w14:paraId="3F21B034" w14:textId="77777777" w:rsidR="002433D1" w:rsidRDefault="002433D1">
            <w:pPr>
              <w:rPr>
                <w:rFonts w:ascii="Century Gothic" w:hAnsi="Century Gothic"/>
              </w:rPr>
            </w:pPr>
            <w:r>
              <w:rPr>
                <w:rFonts w:ascii="Century Gothic" w:hAnsi="Century Gothic"/>
              </w:rPr>
              <w:lastRenderedPageBreak/>
              <w:t>Source(s) that complicate my thinking—raise questions or issues that I need to explore further</w:t>
            </w:r>
          </w:p>
          <w:p w14:paraId="07C360F5" w14:textId="77777777" w:rsidR="00E552DD" w:rsidRPr="009A3C3D" w:rsidRDefault="00E552DD" w:rsidP="00E552DD">
            <w:pPr>
              <w:pStyle w:val="ng-binding"/>
              <w:shd w:val="clear" w:color="auto" w:fill="F0F0F0"/>
              <w:rPr>
                <w:i/>
                <w:iCs/>
                <w:color w:val="333333"/>
              </w:rPr>
            </w:pPr>
            <w:r w:rsidRPr="009A3C3D">
              <w:rPr>
                <w:color w:val="333333"/>
              </w:rPr>
              <w:t>Schumer, L. (2019). Disclosing your disability to your employer.</w:t>
            </w:r>
            <w:r w:rsidRPr="009A3C3D">
              <w:rPr>
                <w:i/>
                <w:iCs/>
                <w:color w:val="333333"/>
              </w:rPr>
              <w:t> The New York Times.</w:t>
            </w:r>
          </w:p>
          <w:p w14:paraId="4388CE6A" w14:textId="38B96498" w:rsidR="002433D1" w:rsidRPr="009A3C3D" w:rsidRDefault="004624AB">
            <w:pPr>
              <w:rPr>
                <w:rFonts w:ascii="Times New Roman" w:hAnsi="Times New Roman" w:cs="Times New Roman"/>
              </w:rPr>
            </w:pPr>
            <w:r w:rsidRPr="009A3C3D">
              <w:rPr>
                <w:rFonts w:ascii="Times New Roman" w:hAnsi="Times New Roman" w:cs="Times New Roman"/>
                <w:color w:val="333333"/>
              </w:rPr>
              <w:t>I</w:t>
            </w:r>
            <w:r w:rsidRPr="009A3C3D">
              <w:rPr>
                <w:rFonts w:ascii="Times New Roman" w:hAnsi="Times New Roman" w:cs="Times New Roman"/>
                <w:color w:val="333333"/>
              </w:rPr>
              <w:t xml:space="preserve">ndividuals with “visible” disabilities for the first time were presented with a choice of revealing their disability in the virtual learning environment or not?  </w:t>
            </w:r>
            <w:r w:rsidRPr="009A3C3D">
              <w:rPr>
                <w:rFonts w:ascii="Times New Roman" w:hAnsi="Times New Roman" w:cs="Times New Roman"/>
                <w:color w:val="333333"/>
              </w:rPr>
              <w:t>Is this different from people with invisible disabilities?</w:t>
            </w:r>
          </w:p>
          <w:p w14:paraId="7263938B" w14:textId="77777777" w:rsidR="002433D1" w:rsidRDefault="002433D1">
            <w:pPr>
              <w:rPr>
                <w:rFonts w:ascii="Century Gothic" w:hAnsi="Century Gothic"/>
              </w:rPr>
            </w:pPr>
          </w:p>
          <w:p w14:paraId="71202FEF" w14:textId="77777777" w:rsidR="002433D1" w:rsidRDefault="002433D1">
            <w:pPr>
              <w:rPr>
                <w:rFonts w:ascii="Century Gothic" w:hAnsi="Century Gothic"/>
              </w:rPr>
            </w:pPr>
          </w:p>
          <w:p w14:paraId="7ADBC826" w14:textId="77777777" w:rsidR="002433D1" w:rsidRDefault="002433D1">
            <w:pPr>
              <w:rPr>
                <w:rFonts w:ascii="Century Gothic" w:hAnsi="Century Gothic"/>
              </w:rPr>
            </w:pPr>
          </w:p>
          <w:p w14:paraId="5C9A6266" w14:textId="77777777" w:rsidR="002433D1" w:rsidRDefault="002433D1">
            <w:pPr>
              <w:rPr>
                <w:rFonts w:ascii="Century Gothic" w:hAnsi="Century Gothic"/>
              </w:rPr>
            </w:pPr>
          </w:p>
          <w:p w14:paraId="29BDC1FE" w14:textId="77777777" w:rsidR="002433D1" w:rsidRDefault="002433D1">
            <w:pPr>
              <w:rPr>
                <w:rFonts w:ascii="Century Gothic" w:hAnsi="Century Gothic"/>
              </w:rPr>
            </w:pPr>
          </w:p>
          <w:p w14:paraId="62D20E3D" w14:textId="77777777" w:rsidR="002433D1" w:rsidRDefault="002433D1">
            <w:pPr>
              <w:rPr>
                <w:rFonts w:ascii="Century Gothic" w:hAnsi="Century Gothic"/>
              </w:rPr>
            </w:pPr>
          </w:p>
          <w:p w14:paraId="2F7921F0" w14:textId="77777777" w:rsidR="002433D1" w:rsidRDefault="002433D1">
            <w:pPr>
              <w:rPr>
                <w:rFonts w:ascii="Century Gothic" w:hAnsi="Century Gothic"/>
              </w:rPr>
            </w:pPr>
          </w:p>
          <w:p w14:paraId="5517BD9E" w14:textId="77777777" w:rsidR="002433D1" w:rsidRDefault="002433D1">
            <w:pPr>
              <w:rPr>
                <w:rFonts w:ascii="Century Gothic" w:hAnsi="Century Gothic"/>
              </w:rPr>
            </w:pPr>
          </w:p>
        </w:tc>
      </w:tr>
      <w:tr w:rsidR="00D90331" w14:paraId="1EEC752C" w14:textId="77777777" w:rsidTr="00D90331">
        <w:tc>
          <w:tcPr>
            <w:tcW w:w="4796" w:type="dxa"/>
          </w:tcPr>
          <w:p w14:paraId="7147629B" w14:textId="720E3C1C" w:rsidR="00D90331" w:rsidRDefault="00D90331">
            <w:pPr>
              <w:rPr>
                <w:rFonts w:ascii="Century Gothic" w:hAnsi="Century Gothic"/>
              </w:rPr>
            </w:pPr>
            <w:r>
              <w:rPr>
                <w:rFonts w:ascii="Century Gothic" w:hAnsi="Century Gothic"/>
              </w:rPr>
              <w:lastRenderedPageBreak/>
              <w:t>Source(s) that represent influential thinking on the subject (i.e. seminal works and/or those by respected scholars)</w:t>
            </w:r>
          </w:p>
          <w:p w14:paraId="16B68085" w14:textId="77777777" w:rsidR="00116C76" w:rsidRDefault="00116C76">
            <w:pPr>
              <w:rPr>
                <w:rFonts w:ascii="Century Gothic" w:hAnsi="Century Gothic"/>
              </w:rPr>
            </w:pPr>
          </w:p>
          <w:p w14:paraId="03934C69" w14:textId="5F52B92D" w:rsidR="00116C76" w:rsidRDefault="00116C76" w:rsidP="00F960C5">
            <w:pPr>
              <w:autoSpaceDE w:val="0"/>
              <w:autoSpaceDN w:val="0"/>
              <w:adjustRightInd w:val="0"/>
              <w:rPr>
                <w:rFonts w:ascii="Times New Roman" w:hAnsi="Times New Roman" w:cs="Times New Roman"/>
              </w:rPr>
            </w:pPr>
            <w:r>
              <w:rPr>
                <w:rFonts w:ascii="Times New Roman" w:hAnsi="Times New Roman" w:cs="Times New Roman"/>
              </w:rPr>
              <w:t>Peck, B., &amp; Kirkbride, L.T., (20</w:t>
            </w:r>
            <w:r w:rsidR="00DA61FA">
              <w:rPr>
                <w:rFonts w:ascii="Times New Roman" w:hAnsi="Times New Roman" w:cs="Times New Roman"/>
              </w:rPr>
              <w:t>1</w:t>
            </w:r>
            <w:r>
              <w:rPr>
                <w:rFonts w:ascii="Times New Roman" w:hAnsi="Times New Roman" w:cs="Times New Roman"/>
              </w:rPr>
              <w:t>1). Why businesses don’t employ people with disabilities</w:t>
            </w:r>
            <w:r>
              <w:rPr>
                <w:rFonts w:ascii="Times New Roman" w:hAnsi="Times New Roman" w:cs="Times New Roman"/>
                <w:i/>
                <w:iCs/>
              </w:rPr>
              <w:t>.</w:t>
            </w:r>
            <w:r w:rsidR="00F960C5">
              <w:rPr>
                <w:rFonts w:ascii="Times New Roman" w:hAnsi="Times New Roman" w:cs="Times New Roman"/>
                <w:i/>
                <w:iCs/>
              </w:rPr>
              <w:t xml:space="preserve"> </w:t>
            </w:r>
            <w:r>
              <w:rPr>
                <w:rFonts w:ascii="Times New Roman" w:hAnsi="Times New Roman" w:cs="Times New Roman"/>
                <w:i/>
                <w:iCs/>
              </w:rPr>
              <w:t>Journal of Vocational Rehabilitation</w:t>
            </w:r>
            <w:r>
              <w:rPr>
                <w:rFonts w:ascii="Times New Roman" w:hAnsi="Times New Roman" w:cs="Times New Roman"/>
              </w:rPr>
              <w:t>, 16, p. 71-75.</w:t>
            </w:r>
          </w:p>
          <w:p w14:paraId="6BD5C58A" w14:textId="77777777" w:rsidR="00A50443" w:rsidRDefault="00A50443" w:rsidP="00116C76">
            <w:pPr>
              <w:rPr>
                <w:rFonts w:ascii="Times New Roman" w:hAnsi="Times New Roman" w:cs="Times New Roman"/>
              </w:rPr>
            </w:pPr>
          </w:p>
          <w:p w14:paraId="1F218056" w14:textId="77777777" w:rsidR="004335C5" w:rsidRDefault="004335C5" w:rsidP="00116C76">
            <w:pPr>
              <w:rPr>
                <w:rFonts w:ascii="Century Gothic" w:hAnsi="Century Gothic"/>
              </w:rPr>
            </w:pPr>
          </w:p>
          <w:p w14:paraId="654EA6F7" w14:textId="437B48F5" w:rsidR="00F960C5" w:rsidRDefault="004335C5" w:rsidP="00F960C5">
            <w:pPr>
              <w:autoSpaceDE w:val="0"/>
              <w:autoSpaceDN w:val="0"/>
              <w:adjustRightInd w:val="0"/>
              <w:rPr>
                <w:rFonts w:ascii="Times New Roman" w:hAnsi="Times New Roman" w:cs="Times New Roman"/>
              </w:rPr>
            </w:pPr>
            <w:r>
              <w:rPr>
                <w:rFonts w:ascii="Times New Roman" w:hAnsi="Times New Roman" w:cs="Times New Roman"/>
                <w:color w:val="222222"/>
                <w:shd w:val="clear" w:color="auto" w:fill="FFFFFF"/>
              </w:rPr>
              <w:t xml:space="preserve">This research is from </w:t>
            </w:r>
            <w:r w:rsidRPr="004335C5">
              <w:rPr>
                <w:rFonts w:ascii="Times New Roman" w:hAnsi="Times New Roman" w:cs="Times New Roman"/>
                <w:color w:val="222222"/>
                <w:shd w:val="clear" w:color="auto" w:fill="FFFFFF"/>
              </w:rPr>
              <w:t>a business perspective and shares the unspoken fears within the</w:t>
            </w:r>
            <w:r w:rsidRPr="004335C5">
              <w:rPr>
                <w:rFonts w:ascii="Times New Roman" w:hAnsi="Times New Roman" w:cs="Times New Roman"/>
                <w:color w:val="222222"/>
              </w:rPr>
              <w:br/>
            </w:r>
            <w:r w:rsidRPr="004335C5">
              <w:rPr>
                <w:rFonts w:ascii="Times New Roman" w:hAnsi="Times New Roman" w:cs="Times New Roman"/>
                <w:color w:val="222222"/>
                <w:shd w:val="clear" w:color="auto" w:fill="FFFFFF"/>
              </w:rPr>
              <w:t>employer community related to the hiring and advancement of people with disabilities. It</w:t>
            </w:r>
            <w:r w:rsidRPr="004335C5">
              <w:rPr>
                <w:rFonts w:ascii="Times New Roman" w:hAnsi="Times New Roman" w:cs="Times New Roman"/>
                <w:color w:val="222222"/>
              </w:rPr>
              <w:br/>
            </w:r>
            <w:r w:rsidRPr="004335C5">
              <w:rPr>
                <w:rFonts w:ascii="Times New Roman" w:hAnsi="Times New Roman" w:cs="Times New Roman"/>
                <w:color w:val="222222"/>
                <w:shd w:val="clear" w:color="auto" w:fill="FFFFFF"/>
              </w:rPr>
              <w:t>discusses the importance of understanding these fears and the strategies that will be</w:t>
            </w:r>
            <w:r w:rsidRPr="004335C5">
              <w:rPr>
                <w:rFonts w:ascii="Times New Roman" w:hAnsi="Times New Roman" w:cs="Times New Roman"/>
                <w:color w:val="222222"/>
              </w:rPr>
              <w:br/>
            </w:r>
            <w:r w:rsidRPr="004335C5">
              <w:rPr>
                <w:rFonts w:ascii="Times New Roman" w:hAnsi="Times New Roman" w:cs="Times New Roman"/>
                <w:color w:val="222222"/>
                <w:shd w:val="clear" w:color="auto" w:fill="FFFFFF"/>
              </w:rPr>
              <w:t>necessary for combating these issues</w:t>
            </w:r>
            <w:r>
              <w:rPr>
                <w:rFonts w:ascii="Arial" w:hAnsi="Arial" w:cs="Arial"/>
                <w:color w:val="222222"/>
                <w:sz w:val="20"/>
                <w:szCs w:val="20"/>
                <w:shd w:val="clear" w:color="auto" w:fill="FFFFFF"/>
              </w:rPr>
              <w:t>.</w:t>
            </w:r>
            <w:r w:rsidR="00F960C5">
              <w:rPr>
                <w:rFonts w:ascii="Times New Roman" w:hAnsi="Times New Roman" w:cs="Times New Roman"/>
              </w:rPr>
              <w:t xml:space="preserve"> </w:t>
            </w:r>
            <w:r w:rsidR="00F960C5">
              <w:rPr>
                <w:rFonts w:ascii="Times New Roman" w:hAnsi="Times New Roman" w:cs="Times New Roman"/>
              </w:rPr>
              <w:t xml:space="preserve">Businesses </w:t>
            </w:r>
            <w:r w:rsidR="00F960C5">
              <w:rPr>
                <w:rFonts w:ascii="Times New Roman" w:hAnsi="Times New Roman" w:cs="Times New Roman"/>
              </w:rPr>
              <w:t>seldom</w:t>
            </w:r>
            <w:r w:rsidR="00F960C5">
              <w:rPr>
                <w:rFonts w:ascii="Times New Roman" w:hAnsi="Times New Roman" w:cs="Times New Roman"/>
              </w:rPr>
              <w:t xml:space="preserve"> </w:t>
            </w:r>
            <w:r w:rsidR="00F960C5">
              <w:rPr>
                <w:rFonts w:ascii="Times New Roman" w:hAnsi="Times New Roman" w:cs="Times New Roman"/>
              </w:rPr>
              <w:t>acknowledge the actual</w:t>
            </w:r>
            <w:r w:rsidR="00F960C5">
              <w:rPr>
                <w:rFonts w:ascii="Times New Roman" w:hAnsi="Times New Roman" w:cs="Times New Roman"/>
              </w:rPr>
              <w:t xml:space="preserve"> reason that </w:t>
            </w:r>
            <w:r w:rsidR="00F960C5">
              <w:rPr>
                <w:rFonts w:ascii="Times New Roman" w:hAnsi="Times New Roman" w:cs="Times New Roman"/>
              </w:rPr>
              <w:t>stops</w:t>
            </w:r>
            <w:r w:rsidR="00F960C5">
              <w:rPr>
                <w:rFonts w:ascii="Times New Roman" w:hAnsi="Times New Roman" w:cs="Times New Roman"/>
              </w:rPr>
              <w:t xml:space="preserve"> them</w:t>
            </w:r>
            <w:r w:rsidR="00F960C5">
              <w:rPr>
                <w:rFonts w:ascii="Times New Roman" w:hAnsi="Times New Roman" w:cs="Times New Roman"/>
              </w:rPr>
              <w:t xml:space="preserve"> </w:t>
            </w:r>
            <w:r w:rsidR="00F960C5">
              <w:rPr>
                <w:rFonts w:ascii="Times New Roman" w:hAnsi="Times New Roman" w:cs="Times New Roman"/>
              </w:rPr>
              <w:t>from hiring people with disabilities</w:t>
            </w:r>
            <w:r w:rsidR="00F960C5">
              <w:rPr>
                <w:rFonts w:ascii="Times New Roman" w:hAnsi="Times New Roman" w:cs="Times New Roman"/>
              </w:rPr>
              <w:t>. It appears</w:t>
            </w:r>
            <w:r w:rsidR="00F960C5">
              <w:rPr>
                <w:rFonts w:ascii="Times New Roman" w:hAnsi="Times New Roman" w:cs="Times New Roman"/>
              </w:rPr>
              <w:t xml:space="preserve"> fear could be a</w:t>
            </w:r>
            <w:r w:rsidR="00F960C5">
              <w:rPr>
                <w:rFonts w:ascii="Times New Roman" w:hAnsi="Times New Roman" w:cs="Times New Roman"/>
              </w:rPr>
              <w:t>n overriding</w:t>
            </w:r>
            <w:r w:rsidR="00F960C5">
              <w:rPr>
                <w:rFonts w:ascii="Times New Roman" w:hAnsi="Times New Roman" w:cs="Times New Roman"/>
              </w:rPr>
              <w:t xml:space="preserve"> motivation for not hiring a person</w:t>
            </w:r>
          </w:p>
          <w:p w14:paraId="512CD2AA" w14:textId="77777777" w:rsidR="004335C5" w:rsidRDefault="00F960C5" w:rsidP="00F960C5">
            <w:pPr>
              <w:rPr>
                <w:rFonts w:ascii="Times New Roman" w:hAnsi="Times New Roman" w:cs="Times New Roman"/>
              </w:rPr>
            </w:pPr>
            <w:r>
              <w:rPr>
                <w:rFonts w:ascii="Times New Roman" w:hAnsi="Times New Roman" w:cs="Times New Roman"/>
              </w:rPr>
              <w:t>with a disability</w:t>
            </w:r>
            <w:r>
              <w:rPr>
                <w:rFonts w:ascii="Times New Roman" w:hAnsi="Times New Roman" w:cs="Times New Roman"/>
              </w:rPr>
              <w:t>.</w:t>
            </w:r>
          </w:p>
          <w:p w14:paraId="2C4329BC" w14:textId="77777777" w:rsidR="00C909A0" w:rsidRDefault="00C909A0" w:rsidP="00F960C5">
            <w:pPr>
              <w:rPr>
                <w:rFonts w:ascii="Century Gothic" w:hAnsi="Century Gothic"/>
              </w:rPr>
            </w:pPr>
          </w:p>
          <w:p w14:paraId="7AC6C770" w14:textId="77777777" w:rsidR="00C909A0" w:rsidRDefault="00C909A0" w:rsidP="00F960C5">
            <w:pPr>
              <w:rPr>
                <w:rFonts w:ascii="Century Gothic" w:hAnsi="Century Gothic"/>
              </w:rPr>
            </w:pPr>
          </w:p>
          <w:p w14:paraId="007FE5A6" w14:textId="3475C2DA" w:rsidR="00C909A0" w:rsidRDefault="005706AB" w:rsidP="00F960C5">
            <w:pPr>
              <w:rPr>
                <w:rFonts w:ascii="Times New Roman" w:hAnsi="Times New Roman" w:cs="Times New Roman"/>
              </w:rPr>
            </w:pPr>
            <w:r w:rsidRPr="005706AB">
              <w:rPr>
                <w:rFonts w:ascii="Times New Roman" w:hAnsi="Times New Roman" w:cs="Times New Roman"/>
              </w:rPr>
              <w:t xml:space="preserve">Afifi, T., &amp; Steuber, K. (2009). The Revelation Risk Model (RRM): Factors that predict the revelation of secrets and the strategies used to reveal them. </w:t>
            </w:r>
            <w:r w:rsidRPr="00814B5A">
              <w:rPr>
                <w:rFonts w:ascii="Times New Roman" w:hAnsi="Times New Roman" w:cs="Times New Roman"/>
                <w:i/>
                <w:iCs/>
              </w:rPr>
              <w:t>Communication Monographs</w:t>
            </w:r>
            <w:r w:rsidRPr="005706AB">
              <w:rPr>
                <w:rFonts w:ascii="Times New Roman" w:hAnsi="Times New Roman" w:cs="Times New Roman"/>
              </w:rPr>
              <w:t>, 76(2), 144-176.</w:t>
            </w:r>
          </w:p>
          <w:p w14:paraId="24C1070E" w14:textId="77777777" w:rsidR="005706AB" w:rsidRPr="005706AB" w:rsidRDefault="005706AB" w:rsidP="00F960C5">
            <w:pPr>
              <w:rPr>
                <w:rFonts w:ascii="Times New Roman" w:hAnsi="Times New Roman" w:cs="Times New Roman"/>
              </w:rPr>
            </w:pPr>
          </w:p>
          <w:p w14:paraId="3C9CE551" w14:textId="1B335E19" w:rsidR="00C909A0" w:rsidRPr="00C909A0" w:rsidRDefault="00415388" w:rsidP="00F960C5">
            <w:pPr>
              <w:rPr>
                <w:rFonts w:ascii="Times New Roman" w:hAnsi="Times New Roman" w:cs="Times New Roman"/>
              </w:rPr>
            </w:pPr>
            <w:r w:rsidRPr="00415388">
              <w:rPr>
                <w:rFonts w:ascii="Times New Roman" w:hAnsi="Times New Roman" w:cs="Times New Roman"/>
              </w:rPr>
              <w:t>The primary goal of this</w:t>
            </w:r>
            <w:r>
              <w:rPr>
                <w:rFonts w:ascii="Times New Roman" w:hAnsi="Times New Roman" w:cs="Times New Roman"/>
              </w:rPr>
              <w:t xml:space="preserve"> research</w:t>
            </w:r>
            <w:r w:rsidRPr="00415388">
              <w:rPr>
                <w:rFonts w:ascii="Times New Roman" w:hAnsi="Times New Roman" w:cs="Times New Roman"/>
              </w:rPr>
              <w:t xml:space="preserve"> is to advance </w:t>
            </w:r>
            <w:r>
              <w:rPr>
                <w:rFonts w:ascii="Times New Roman" w:hAnsi="Times New Roman" w:cs="Times New Roman"/>
              </w:rPr>
              <w:t>the</w:t>
            </w:r>
            <w:r w:rsidRPr="00415388">
              <w:rPr>
                <w:rFonts w:ascii="Times New Roman" w:hAnsi="Times New Roman" w:cs="Times New Roman"/>
              </w:rPr>
              <w:t xml:space="preserve"> risk revelation model (RRM) that explains the factors that predict when people will reveal or continue to conceal secrets. </w:t>
            </w:r>
            <w:r>
              <w:rPr>
                <w:rFonts w:ascii="Times New Roman" w:hAnsi="Times New Roman" w:cs="Times New Roman"/>
              </w:rPr>
              <w:t>A</w:t>
            </w:r>
            <w:r w:rsidRPr="00415388">
              <w:rPr>
                <w:rFonts w:ascii="Times New Roman" w:hAnsi="Times New Roman" w:cs="Times New Roman"/>
              </w:rPr>
              <w:t xml:space="preserve">mong other things, people </w:t>
            </w:r>
            <w:r>
              <w:rPr>
                <w:rFonts w:ascii="Times New Roman" w:hAnsi="Times New Roman" w:cs="Times New Roman"/>
              </w:rPr>
              <w:t xml:space="preserve">will </w:t>
            </w:r>
            <w:r w:rsidRPr="00415388">
              <w:rPr>
                <w:rFonts w:ascii="Times New Roman" w:hAnsi="Times New Roman" w:cs="Times New Roman"/>
              </w:rPr>
              <w:t xml:space="preserve">assess the risks involved with the disclosure of secrets and that this risk assessment is what predicts people's </w:t>
            </w:r>
            <w:r w:rsidRPr="00415388">
              <w:rPr>
                <w:rFonts w:ascii="Times New Roman" w:hAnsi="Times New Roman" w:cs="Times New Roman"/>
              </w:rPr>
              <w:lastRenderedPageBreak/>
              <w:t>"readiness" or willingness to reveal them. People are more willing to reveal their secrets under certain conditions: (1) for catharsis, (2) if the target needs to know/has the right to know the information, and (3) if other people (including the target) are encouraging the person to reveal the secret. Finally, the RRM assumes that people are more willing to actually reveal their secret when they have communication efficacy or they believe they have the ability to talk about it.</w:t>
            </w:r>
            <w:r w:rsidR="0063527C">
              <w:rPr>
                <w:rFonts w:ascii="Times New Roman" w:hAnsi="Times New Roman" w:cs="Times New Roman"/>
              </w:rPr>
              <w:t xml:space="preserve"> As far as d</w:t>
            </w:r>
            <w:r w:rsidR="00C909A0" w:rsidRPr="00C909A0">
              <w:rPr>
                <w:rFonts w:ascii="Times New Roman" w:hAnsi="Times New Roman" w:cs="Times New Roman"/>
              </w:rPr>
              <w:t>isclosure</w:t>
            </w:r>
            <w:r w:rsidR="0063527C">
              <w:rPr>
                <w:rFonts w:ascii="Times New Roman" w:hAnsi="Times New Roman" w:cs="Times New Roman"/>
              </w:rPr>
              <w:t>, it</w:t>
            </w:r>
            <w:r w:rsidR="00C909A0" w:rsidRPr="00C909A0">
              <w:rPr>
                <w:rFonts w:ascii="Times New Roman" w:hAnsi="Times New Roman" w:cs="Times New Roman"/>
              </w:rPr>
              <w:t xml:space="preserve"> is a decision that </w:t>
            </w:r>
            <w:r w:rsidR="00263AC4">
              <w:rPr>
                <w:rFonts w:ascii="Times New Roman" w:hAnsi="Times New Roman" w:cs="Times New Roman"/>
              </w:rPr>
              <w:t>necessitates</w:t>
            </w:r>
            <w:r w:rsidR="00C909A0" w:rsidRPr="00C909A0">
              <w:rPr>
                <w:rFonts w:ascii="Times New Roman" w:hAnsi="Times New Roman" w:cs="Times New Roman"/>
              </w:rPr>
              <w:t xml:space="preserve"> weighing perceived outcomes and benefits with unknown results (Afifi &amp; Steuber, 2009).</w:t>
            </w:r>
          </w:p>
        </w:tc>
        <w:tc>
          <w:tcPr>
            <w:tcW w:w="4797" w:type="dxa"/>
          </w:tcPr>
          <w:p w14:paraId="1B550B5D" w14:textId="77777777" w:rsidR="00D90331" w:rsidRDefault="00D90331">
            <w:pPr>
              <w:rPr>
                <w:rFonts w:ascii="Century Gothic" w:hAnsi="Century Gothic"/>
              </w:rPr>
            </w:pPr>
            <w:r>
              <w:rPr>
                <w:rFonts w:ascii="Century Gothic" w:hAnsi="Century Gothic"/>
              </w:rPr>
              <w:lastRenderedPageBreak/>
              <w:t>Source(s) that I want to counter in some way</w:t>
            </w:r>
          </w:p>
          <w:p w14:paraId="5F898B97" w14:textId="77777777" w:rsidR="00DB6378" w:rsidRDefault="00DB6378">
            <w:pPr>
              <w:rPr>
                <w:rFonts w:ascii="Century Gothic" w:hAnsi="Century Gothic"/>
              </w:rPr>
            </w:pPr>
          </w:p>
          <w:p w14:paraId="0319816C" w14:textId="77777777" w:rsidR="00DB6378" w:rsidRDefault="00DB6378">
            <w:pPr>
              <w:rPr>
                <w:rFonts w:ascii="Century Gothic" w:hAnsi="Century Gothic"/>
              </w:rPr>
            </w:pPr>
          </w:p>
          <w:p w14:paraId="5883262F" w14:textId="5FABD15F" w:rsidR="00AF047C" w:rsidRDefault="00AF047C" w:rsidP="00DB6378">
            <w:pPr>
              <w:autoSpaceDE w:val="0"/>
              <w:autoSpaceDN w:val="0"/>
              <w:adjustRightInd w:val="0"/>
              <w:rPr>
                <w:rFonts w:ascii="Times New Roman" w:hAnsi="Times New Roman" w:cs="Times New Roman"/>
              </w:rPr>
            </w:pPr>
            <w:r w:rsidRPr="00AF047C">
              <w:rPr>
                <w:rFonts w:ascii="Times New Roman" w:hAnsi="Times New Roman" w:cs="Times New Roman"/>
              </w:rPr>
              <w:t xml:space="preserve">Bezyak, J., Moser, E., Chan, F., &amp; Iwanaga, K. (2020). Predictors of automatic preference for people without disabilities over people with disabilities: A chi-squared automatic interaction detector analysis. </w:t>
            </w:r>
            <w:r w:rsidRPr="00EA110C">
              <w:rPr>
                <w:rFonts w:ascii="Times New Roman" w:hAnsi="Times New Roman" w:cs="Times New Roman"/>
                <w:i/>
                <w:iCs/>
              </w:rPr>
              <w:t>Rehabilitation Research, Policy, and Education</w:t>
            </w:r>
            <w:r w:rsidRPr="00AF047C">
              <w:rPr>
                <w:rFonts w:ascii="Times New Roman" w:hAnsi="Times New Roman" w:cs="Times New Roman"/>
              </w:rPr>
              <w:t xml:space="preserve">, 34(3), 159-175. </w:t>
            </w:r>
            <w:hyperlink r:id="rId7" w:history="1">
              <w:r w:rsidRPr="00C4216C">
                <w:rPr>
                  <w:rStyle w:val="Hyperlink"/>
                  <w:rFonts w:ascii="Times New Roman" w:hAnsi="Times New Roman" w:cs="Times New Roman"/>
                </w:rPr>
                <w:t>https://doi.org/10.1891/RE-20-15</w:t>
              </w:r>
            </w:hyperlink>
          </w:p>
          <w:p w14:paraId="6C9CDDA0" w14:textId="77777777" w:rsidR="00AF047C" w:rsidRDefault="00AF047C" w:rsidP="00DB6378">
            <w:pPr>
              <w:autoSpaceDE w:val="0"/>
              <w:autoSpaceDN w:val="0"/>
              <w:adjustRightInd w:val="0"/>
              <w:rPr>
                <w:rFonts w:ascii="Times New Roman" w:hAnsi="Times New Roman" w:cs="Times New Roman"/>
              </w:rPr>
            </w:pPr>
          </w:p>
          <w:p w14:paraId="1328DA71" w14:textId="77777777" w:rsidR="00DB6378" w:rsidRDefault="00A6307A" w:rsidP="009A3C3D">
            <w:pPr>
              <w:autoSpaceDE w:val="0"/>
              <w:autoSpaceDN w:val="0"/>
              <w:adjustRightInd w:val="0"/>
              <w:rPr>
                <w:rFonts w:ascii="Times New Roman" w:hAnsi="Times New Roman" w:cs="Times New Roman"/>
              </w:rPr>
            </w:pPr>
            <w:r>
              <w:rPr>
                <w:rFonts w:ascii="Times New Roman" w:hAnsi="Times New Roman" w:cs="Times New Roman"/>
              </w:rPr>
              <w:t>E</w:t>
            </w:r>
            <w:r w:rsidR="00DB6378">
              <w:rPr>
                <w:rFonts w:ascii="Times New Roman" w:hAnsi="Times New Roman" w:cs="Times New Roman"/>
              </w:rPr>
              <w:t>mployers shy away from providing people with disabilities</w:t>
            </w:r>
            <w:r>
              <w:rPr>
                <w:rFonts w:ascii="Times New Roman" w:hAnsi="Times New Roman" w:cs="Times New Roman"/>
              </w:rPr>
              <w:t xml:space="preserve"> </w:t>
            </w:r>
            <w:r w:rsidR="00DB6378">
              <w:rPr>
                <w:rFonts w:ascii="Times New Roman" w:hAnsi="Times New Roman" w:cs="Times New Roman"/>
              </w:rPr>
              <w:t xml:space="preserve">opportunities to secure employment. </w:t>
            </w:r>
            <w:r w:rsidR="009A3C3D" w:rsidRPr="009A3C3D">
              <w:rPr>
                <w:rFonts w:ascii="Times New Roman" w:hAnsi="Times New Roman" w:cs="Times New Roman"/>
              </w:rPr>
              <w:t>Results indicate that men over 55 without a disability, who scored neutral or high on explicit preference for people without disabilities, who are religious and conservative, are likely to have higher automatic and explicit preference for people without disabilities.</w:t>
            </w:r>
            <w:r w:rsidR="009A3C3D">
              <w:rPr>
                <w:rFonts w:ascii="Times New Roman" w:hAnsi="Times New Roman" w:cs="Times New Roman"/>
              </w:rPr>
              <w:t xml:space="preserve"> </w:t>
            </w:r>
            <w:r w:rsidR="00DB6378">
              <w:rPr>
                <w:rFonts w:ascii="Times New Roman" w:hAnsi="Times New Roman" w:cs="Times New Roman"/>
              </w:rPr>
              <w:t>A negative attitude</w:t>
            </w:r>
            <w:r w:rsidR="009A3C3D">
              <w:rPr>
                <w:rFonts w:ascii="Times New Roman" w:hAnsi="Times New Roman" w:cs="Times New Roman"/>
              </w:rPr>
              <w:t xml:space="preserve"> </w:t>
            </w:r>
            <w:r w:rsidR="00DB6378">
              <w:rPr>
                <w:rFonts w:ascii="Times New Roman" w:hAnsi="Times New Roman" w:cs="Times New Roman"/>
              </w:rPr>
              <w:t>regarding people with disabilities is often the result of lack of education of employers</w:t>
            </w:r>
            <w:r w:rsidR="00E968E1">
              <w:rPr>
                <w:rFonts w:ascii="Times New Roman" w:hAnsi="Times New Roman" w:cs="Times New Roman"/>
              </w:rPr>
              <w:t>.</w:t>
            </w:r>
          </w:p>
          <w:p w14:paraId="37715422" w14:textId="77777777" w:rsidR="00E968E1" w:rsidRDefault="00E968E1" w:rsidP="009A3C3D">
            <w:pPr>
              <w:autoSpaceDE w:val="0"/>
              <w:autoSpaceDN w:val="0"/>
              <w:adjustRightInd w:val="0"/>
              <w:rPr>
                <w:rFonts w:ascii="Times New Roman" w:hAnsi="Times New Roman" w:cs="Times New Roman"/>
              </w:rPr>
            </w:pPr>
          </w:p>
          <w:p w14:paraId="7AF1170C" w14:textId="77777777" w:rsidR="00E968E1" w:rsidRDefault="00E968E1" w:rsidP="009A3C3D">
            <w:pPr>
              <w:autoSpaceDE w:val="0"/>
              <w:autoSpaceDN w:val="0"/>
              <w:adjustRightInd w:val="0"/>
              <w:rPr>
                <w:rFonts w:ascii="Times New Roman" w:hAnsi="Times New Roman" w:cs="Times New Roman"/>
              </w:rPr>
            </w:pPr>
          </w:p>
          <w:p w14:paraId="0460F388" w14:textId="77777777" w:rsidR="00E968E1" w:rsidRDefault="00FC31B9" w:rsidP="009A3C3D">
            <w:pPr>
              <w:autoSpaceDE w:val="0"/>
              <w:autoSpaceDN w:val="0"/>
              <w:adjustRightInd w:val="0"/>
              <w:rPr>
                <w:rFonts w:ascii="Times New Roman" w:hAnsi="Times New Roman" w:cs="Times New Roman"/>
              </w:rPr>
            </w:pPr>
            <w:r w:rsidRPr="00FC31B9">
              <w:rPr>
                <w:rFonts w:ascii="Times New Roman" w:hAnsi="Times New Roman" w:cs="Times New Roman"/>
              </w:rPr>
              <w:t xml:space="preserve">Lu, W. (2020). How equity is lost when companies hire only workers with disabilities. </w:t>
            </w:r>
            <w:r w:rsidRPr="00FC31B9">
              <w:rPr>
                <w:rFonts w:ascii="Times New Roman" w:hAnsi="Times New Roman" w:cs="Times New Roman"/>
                <w:i/>
                <w:iCs/>
              </w:rPr>
              <w:t>New York Times</w:t>
            </w:r>
            <w:r w:rsidRPr="00FC31B9">
              <w:rPr>
                <w:rFonts w:ascii="Times New Roman" w:hAnsi="Times New Roman" w:cs="Times New Roman"/>
              </w:rPr>
              <w:t xml:space="preserve"> (Online)</w:t>
            </w:r>
          </w:p>
          <w:p w14:paraId="2DEA9335" w14:textId="77777777" w:rsidR="005063C9" w:rsidRDefault="005063C9" w:rsidP="009A3C3D">
            <w:pPr>
              <w:autoSpaceDE w:val="0"/>
              <w:autoSpaceDN w:val="0"/>
              <w:adjustRightInd w:val="0"/>
              <w:rPr>
                <w:rFonts w:ascii="Times New Roman" w:hAnsi="Times New Roman" w:cs="Times New Roman"/>
              </w:rPr>
            </w:pPr>
          </w:p>
          <w:p w14:paraId="33EB723F" w14:textId="256947CF" w:rsidR="00471C89" w:rsidRPr="00471C89" w:rsidRDefault="005063C9" w:rsidP="00471C89">
            <w:pPr>
              <w:autoSpaceDE w:val="0"/>
              <w:autoSpaceDN w:val="0"/>
              <w:adjustRightInd w:val="0"/>
              <w:rPr>
                <w:rFonts w:ascii="Times New Roman" w:hAnsi="Times New Roman" w:cs="Times New Roman"/>
              </w:rPr>
            </w:pPr>
            <w:r w:rsidRPr="005063C9">
              <w:rPr>
                <w:rFonts w:ascii="Times New Roman" w:hAnsi="Times New Roman" w:cs="Times New Roman"/>
              </w:rPr>
              <w:t>A recent hiring strategy may win pats on the back, but advocates fear it may pigeonhole people with disabilities.</w:t>
            </w:r>
            <w:r w:rsidR="00471C89">
              <w:rPr>
                <w:rFonts w:ascii="Times New Roman" w:hAnsi="Times New Roman" w:cs="Times New Roman"/>
              </w:rPr>
              <w:t xml:space="preserve"> </w:t>
            </w:r>
            <w:r w:rsidR="00471C89" w:rsidRPr="00471C89">
              <w:rPr>
                <w:rFonts w:ascii="Times New Roman" w:hAnsi="Times New Roman" w:cs="Times New Roman"/>
              </w:rPr>
              <w:t xml:space="preserve">But in the last five years, many businesses have adopted hiring practices that prioritize workers with disabilities, often receiving praise for their diverse hiring efforts. Some of these companies  build their brands around hiring only people with disabilities, sometimes operating as </w:t>
            </w:r>
            <w:r w:rsidR="00471C89" w:rsidRPr="00471C89">
              <w:rPr>
                <w:rFonts w:ascii="Times New Roman" w:hAnsi="Times New Roman" w:cs="Times New Roman"/>
              </w:rPr>
              <w:lastRenderedPageBreak/>
              <w:t>charities to save money. In the technology sector, companies such as Microsoft have created programs designed for recruiting workers with autism.</w:t>
            </w:r>
          </w:p>
          <w:p w14:paraId="6A8AA2BE" w14:textId="77777777" w:rsidR="00471C89" w:rsidRPr="00471C89" w:rsidRDefault="00471C89" w:rsidP="00471C89">
            <w:pPr>
              <w:autoSpaceDE w:val="0"/>
              <w:autoSpaceDN w:val="0"/>
              <w:adjustRightInd w:val="0"/>
              <w:rPr>
                <w:rFonts w:ascii="Times New Roman" w:hAnsi="Times New Roman" w:cs="Times New Roman"/>
              </w:rPr>
            </w:pPr>
          </w:p>
          <w:p w14:paraId="63923447" w14:textId="77777777" w:rsidR="00471C89" w:rsidRPr="00471C89" w:rsidRDefault="00471C89" w:rsidP="00471C89">
            <w:pPr>
              <w:autoSpaceDE w:val="0"/>
              <w:autoSpaceDN w:val="0"/>
              <w:adjustRightInd w:val="0"/>
              <w:rPr>
                <w:rFonts w:ascii="Times New Roman" w:hAnsi="Times New Roman" w:cs="Times New Roman"/>
              </w:rPr>
            </w:pPr>
            <w:r w:rsidRPr="00471C89">
              <w:rPr>
                <w:rFonts w:ascii="Times New Roman" w:hAnsi="Times New Roman" w:cs="Times New Roman"/>
              </w:rPr>
              <w:t>These well-intentioned strategies are an improvement from what are known as sheltered workshops, which disability rights advocates said can become exploitative make-work programs that paid below minimum wage and segregated them from the competitive work force and their communities.</w:t>
            </w:r>
          </w:p>
          <w:p w14:paraId="6A161D54" w14:textId="74BE380F" w:rsidR="005063C9" w:rsidRPr="00DB6378" w:rsidRDefault="00471C89" w:rsidP="00471C89">
            <w:pPr>
              <w:autoSpaceDE w:val="0"/>
              <w:autoSpaceDN w:val="0"/>
              <w:adjustRightInd w:val="0"/>
              <w:rPr>
                <w:rFonts w:ascii="Times New Roman" w:hAnsi="Times New Roman" w:cs="Times New Roman"/>
              </w:rPr>
            </w:pPr>
            <w:r>
              <w:rPr>
                <w:rFonts w:ascii="Times New Roman" w:hAnsi="Times New Roman" w:cs="Times New Roman"/>
              </w:rPr>
              <w:t>A</w:t>
            </w:r>
            <w:r w:rsidRPr="00471C89">
              <w:rPr>
                <w:rFonts w:ascii="Times New Roman" w:hAnsi="Times New Roman" w:cs="Times New Roman"/>
              </w:rPr>
              <w:t>dvocates said this new targeted approach should not be the end goal because it could still sequester people with disabilities and limit their options for employment.</w:t>
            </w:r>
          </w:p>
        </w:tc>
        <w:tc>
          <w:tcPr>
            <w:tcW w:w="4797" w:type="dxa"/>
          </w:tcPr>
          <w:p w14:paraId="6D70159A" w14:textId="77777777" w:rsidR="00D90331" w:rsidRDefault="00D90331">
            <w:pPr>
              <w:rPr>
                <w:rFonts w:ascii="Century Gothic" w:hAnsi="Century Gothic"/>
              </w:rPr>
            </w:pPr>
            <w:r>
              <w:rPr>
                <w:rFonts w:ascii="Century Gothic" w:hAnsi="Century Gothic"/>
              </w:rPr>
              <w:lastRenderedPageBreak/>
              <w:t>Source(s) whose thinking I really appreciate</w:t>
            </w:r>
            <w:r w:rsidR="002433D1">
              <w:rPr>
                <w:rFonts w:ascii="Century Gothic" w:hAnsi="Century Gothic"/>
              </w:rPr>
              <w:t>—whose values, language, approach have been formative for my project</w:t>
            </w:r>
          </w:p>
          <w:p w14:paraId="7FF998F9" w14:textId="77777777" w:rsidR="002433D1" w:rsidRDefault="002433D1">
            <w:pPr>
              <w:rPr>
                <w:rFonts w:ascii="Century Gothic" w:hAnsi="Century Gothic"/>
              </w:rPr>
            </w:pPr>
          </w:p>
          <w:p w14:paraId="3CE1D2E2" w14:textId="77777777" w:rsidR="00B2311A" w:rsidRDefault="00B2311A" w:rsidP="00F5715C">
            <w:pPr>
              <w:autoSpaceDE w:val="0"/>
              <w:autoSpaceDN w:val="0"/>
              <w:adjustRightInd w:val="0"/>
              <w:rPr>
                <w:rFonts w:ascii="Times New Roman" w:hAnsi="Times New Roman" w:cs="Times New Roman"/>
              </w:rPr>
            </w:pPr>
            <w:r w:rsidRPr="00B2311A">
              <w:rPr>
                <w:rFonts w:ascii="Times New Roman" w:hAnsi="Times New Roman" w:cs="Times New Roman"/>
              </w:rPr>
              <w:t>Brostrand, H. L. (2006). Tilting at windmills: Changing attitudes toward people with disabilities. The Journal of Rehabilitation, 72(1), 4.</w:t>
            </w:r>
          </w:p>
          <w:p w14:paraId="1DC52B10" w14:textId="77777777" w:rsidR="00B2311A" w:rsidRDefault="00B2311A" w:rsidP="00F5715C">
            <w:pPr>
              <w:autoSpaceDE w:val="0"/>
              <w:autoSpaceDN w:val="0"/>
              <w:adjustRightInd w:val="0"/>
              <w:rPr>
                <w:rFonts w:ascii="Times New Roman" w:hAnsi="Times New Roman" w:cs="Times New Roman"/>
              </w:rPr>
            </w:pPr>
          </w:p>
          <w:p w14:paraId="256E752E" w14:textId="15121D1C" w:rsidR="002433D1" w:rsidRDefault="00B2311A" w:rsidP="00715FD8">
            <w:pPr>
              <w:autoSpaceDE w:val="0"/>
              <w:autoSpaceDN w:val="0"/>
              <w:adjustRightInd w:val="0"/>
              <w:rPr>
                <w:rFonts w:ascii="Century Gothic" w:hAnsi="Century Gothic"/>
              </w:rPr>
            </w:pPr>
            <w:r>
              <w:rPr>
                <w:rFonts w:ascii="Times New Roman" w:hAnsi="Times New Roman" w:cs="Times New Roman"/>
              </w:rPr>
              <w:t xml:space="preserve">An example of an organization that made </w:t>
            </w:r>
            <w:r w:rsidR="00F5715C">
              <w:rPr>
                <w:rFonts w:ascii="Times New Roman" w:hAnsi="Times New Roman" w:cs="Times New Roman"/>
              </w:rPr>
              <w:t>a conscious effort made to increase diversity in the workplace</w:t>
            </w:r>
            <w:r>
              <w:rPr>
                <w:rFonts w:ascii="Times New Roman" w:hAnsi="Times New Roman" w:cs="Times New Roman"/>
              </w:rPr>
              <w:t xml:space="preserve"> </w:t>
            </w:r>
            <w:r w:rsidR="00F5715C">
              <w:rPr>
                <w:rFonts w:ascii="Times New Roman" w:hAnsi="Times New Roman" w:cs="Times New Roman"/>
              </w:rPr>
              <w:t>includes developing strategies for hiring, advancing and retaining people with disabilities</w:t>
            </w:r>
            <w:r>
              <w:rPr>
                <w:rFonts w:ascii="Times New Roman" w:hAnsi="Times New Roman" w:cs="Times New Roman"/>
              </w:rPr>
              <w:t xml:space="preserve"> is Wells Fargo </w:t>
            </w:r>
            <w:r w:rsidR="00F5715C">
              <w:rPr>
                <w:rFonts w:ascii="Times New Roman" w:hAnsi="Times New Roman" w:cs="Times New Roman"/>
              </w:rPr>
              <w:t>(</w:t>
            </w:r>
            <w:r>
              <w:rPr>
                <w:rFonts w:ascii="Times New Roman" w:hAnsi="Times New Roman" w:cs="Times New Roman"/>
              </w:rPr>
              <w:t>Brostrand</w:t>
            </w:r>
            <w:r w:rsidR="00F5715C">
              <w:rPr>
                <w:rFonts w:ascii="Times New Roman" w:hAnsi="Times New Roman" w:cs="Times New Roman"/>
              </w:rPr>
              <w:t>, 200</w:t>
            </w:r>
            <w:r>
              <w:rPr>
                <w:rFonts w:ascii="Times New Roman" w:hAnsi="Times New Roman" w:cs="Times New Roman"/>
              </w:rPr>
              <w:t>6</w:t>
            </w:r>
            <w:r w:rsidR="00F5715C">
              <w:rPr>
                <w:rFonts w:ascii="Times New Roman" w:hAnsi="Times New Roman" w:cs="Times New Roman"/>
              </w:rPr>
              <w:t>). Th</w:t>
            </w:r>
            <w:r>
              <w:rPr>
                <w:rFonts w:ascii="Times New Roman" w:hAnsi="Times New Roman" w:cs="Times New Roman"/>
              </w:rPr>
              <w:t xml:space="preserve">e </w:t>
            </w:r>
            <w:r w:rsidR="00F5715C">
              <w:rPr>
                <w:rFonts w:ascii="Times New Roman" w:hAnsi="Times New Roman" w:cs="Times New Roman"/>
              </w:rPr>
              <w:t>logic</w:t>
            </w:r>
            <w:r>
              <w:rPr>
                <w:rFonts w:ascii="Times New Roman" w:hAnsi="Times New Roman" w:cs="Times New Roman"/>
              </w:rPr>
              <w:t xml:space="preserve"> of this</w:t>
            </w:r>
            <w:r w:rsidR="00F5715C">
              <w:rPr>
                <w:rFonts w:ascii="Times New Roman" w:hAnsi="Times New Roman" w:cs="Times New Roman"/>
              </w:rPr>
              <w:t xml:space="preserve"> is also based on the </w:t>
            </w:r>
            <w:r w:rsidR="00E67596">
              <w:rPr>
                <w:rFonts w:ascii="Times New Roman" w:hAnsi="Times New Roman" w:cs="Times New Roman"/>
              </w:rPr>
              <w:t>enormous</w:t>
            </w:r>
            <w:r w:rsidR="00F5715C">
              <w:rPr>
                <w:rFonts w:ascii="Times New Roman" w:hAnsi="Times New Roman" w:cs="Times New Roman"/>
              </w:rPr>
              <w:t xml:space="preserve"> consumer market of potential</w:t>
            </w:r>
            <w:r w:rsidR="00E67596">
              <w:rPr>
                <w:rFonts w:ascii="Times New Roman" w:hAnsi="Times New Roman" w:cs="Times New Roman"/>
              </w:rPr>
              <w:t xml:space="preserve"> </w:t>
            </w:r>
            <w:r w:rsidR="00F5715C">
              <w:rPr>
                <w:rFonts w:ascii="Times New Roman" w:hAnsi="Times New Roman" w:cs="Times New Roman"/>
              </w:rPr>
              <w:t xml:space="preserve">customers that happen to have a </w:t>
            </w:r>
            <w:r w:rsidR="00715FD8">
              <w:rPr>
                <w:rFonts w:ascii="Times New Roman" w:hAnsi="Times New Roman" w:cs="Times New Roman"/>
              </w:rPr>
              <w:t>relationship</w:t>
            </w:r>
            <w:r w:rsidR="00F5715C">
              <w:rPr>
                <w:rFonts w:ascii="Times New Roman" w:hAnsi="Times New Roman" w:cs="Times New Roman"/>
              </w:rPr>
              <w:t xml:space="preserve"> with people with disabilities, intimately or</w:t>
            </w:r>
            <w:r w:rsidR="00715FD8">
              <w:rPr>
                <w:rFonts w:ascii="Times New Roman" w:hAnsi="Times New Roman" w:cs="Times New Roman"/>
              </w:rPr>
              <w:t xml:space="preserve"> </w:t>
            </w:r>
            <w:r w:rsidR="00F5715C">
              <w:rPr>
                <w:rFonts w:ascii="Times New Roman" w:hAnsi="Times New Roman" w:cs="Times New Roman"/>
              </w:rPr>
              <w:t>through personal contacts.</w:t>
            </w:r>
          </w:p>
          <w:p w14:paraId="19922EC5" w14:textId="77777777" w:rsidR="002433D1" w:rsidRDefault="002433D1">
            <w:pPr>
              <w:rPr>
                <w:rFonts w:ascii="Century Gothic" w:hAnsi="Century Gothic"/>
              </w:rPr>
            </w:pPr>
          </w:p>
          <w:p w14:paraId="1818F2DE" w14:textId="255C2D45" w:rsidR="002433D1" w:rsidRDefault="00411CE2" w:rsidP="00B5755E">
            <w:pPr>
              <w:rPr>
                <w:rFonts w:ascii="Times New Roman" w:hAnsi="Times New Roman" w:cs="Times New Roman"/>
              </w:rPr>
            </w:pPr>
            <w:r w:rsidRPr="00411CE2">
              <w:rPr>
                <w:rFonts w:ascii="Times New Roman" w:hAnsi="Times New Roman" w:cs="Times New Roman"/>
              </w:rPr>
              <w:t xml:space="preserve">Zollner, O. (2000). David L. Morgan/Richard A. krueger : </w:t>
            </w:r>
            <w:r w:rsidRPr="00A804DA">
              <w:rPr>
                <w:rFonts w:ascii="Times New Roman" w:hAnsi="Times New Roman" w:cs="Times New Roman"/>
                <w:i/>
                <w:iCs/>
              </w:rPr>
              <w:t>The focus group kit. 6 bande; thousand oaks, london, new delhi: Sage 1998, insgesamt 696 seiten</w:t>
            </w:r>
            <w:r w:rsidR="00A804DA">
              <w:rPr>
                <w:rFonts w:ascii="Times New Roman" w:hAnsi="Times New Roman" w:cs="Times New Roman"/>
                <w:i/>
                <w:iCs/>
              </w:rPr>
              <w:t xml:space="preserve">. </w:t>
            </w:r>
            <w:r w:rsidRPr="00411CE2">
              <w:rPr>
                <w:rFonts w:ascii="Times New Roman" w:hAnsi="Times New Roman" w:cs="Times New Roman"/>
              </w:rPr>
              <w:t xml:space="preserve"> Springer. https://doi.org/10.1007/s11616-000-0157-9</w:t>
            </w:r>
          </w:p>
          <w:p w14:paraId="7E22F7DE" w14:textId="77777777" w:rsidR="00B5755E" w:rsidRDefault="00B5755E" w:rsidP="00B5755E">
            <w:pPr>
              <w:rPr>
                <w:rFonts w:ascii="Century Gothic" w:hAnsi="Century Gothic"/>
              </w:rPr>
            </w:pPr>
          </w:p>
          <w:p w14:paraId="1A57EF52" w14:textId="340EA90E" w:rsidR="004E2BAE" w:rsidRDefault="004E2BAE" w:rsidP="004E2BAE">
            <w:pPr>
              <w:autoSpaceDE w:val="0"/>
              <w:autoSpaceDN w:val="0"/>
              <w:adjustRightInd w:val="0"/>
              <w:rPr>
                <w:rFonts w:ascii="Times New Roman" w:hAnsi="Times New Roman" w:cs="Times New Roman"/>
              </w:rPr>
            </w:pPr>
            <w:r>
              <w:rPr>
                <w:rFonts w:ascii="Times New Roman" w:hAnsi="Times New Roman" w:cs="Times New Roman"/>
              </w:rPr>
              <w:t>There is a tendency to self-disclose in non-threatening and interim situations</w:t>
            </w:r>
            <w:r w:rsidR="00BA084E">
              <w:rPr>
                <w:rFonts w:ascii="Times New Roman" w:hAnsi="Times New Roman" w:cs="Times New Roman"/>
              </w:rPr>
              <w:t xml:space="preserve"> </w:t>
            </w:r>
            <w:r>
              <w:rPr>
                <w:rFonts w:ascii="Times New Roman" w:hAnsi="Times New Roman" w:cs="Times New Roman"/>
              </w:rPr>
              <w:t>(</w:t>
            </w:r>
            <w:r w:rsidR="00A804DA">
              <w:rPr>
                <w:rFonts w:ascii="Times New Roman" w:hAnsi="Times New Roman" w:cs="Times New Roman"/>
              </w:rPr>
              <w:t>Zollner</w:t>
            </w:r>
            <w:r>
              <w:rPr>
                <w:rFonts w:ascii="Times New Roman" w:hAnsi="Times New Roman" w:cs="Times New Roman"/>
              </w:rPr>
              <w:t xml:space="preserve">, 2000); a person can open up to a perfect stranger </w:t>
            </w:r>
            <w:r w:rsidR="001D0E76">
              <w:rPr>
                <w:rFonts w:ascii="Times New Roman" w:hAnsi="Times New Roman" w:cs="Times New Roman"/>
              </w:rPr>
              <w:t>sitting next to them</w:t>
            </w:r>
            <w:r>
              <w:rPr>
                <w:rFonts w:ascii="Times New Roman" w:hAnsi="Times New Roman" w:cs="Times New Roman"/>
              </w:rPr>
              <w:t>, get into a</w:t>
            </w:r>
          </w:p>
          <w:p w14:paraId="1029E413" w14:textId="2C3CCB23" w:rsidR="002433D1" w:rsidRDefault="004E2BAE" w:rsidP="001D0E76">
            <w:pPr>
              <w:autoSpaceDE w:val="0"/>
              <w:autoSpaceDN w:val="0"/>
              <w:adjustRightInd w:val="0"/>
              <w:rPr>
                <w:rFonts w:ascii="Century Gothic" w:hAnsi="Century Gothic"/>
              </w:rPr>
            </w:pPr>
            <w:r>
              <w:rPr>
                <w:rFonts w:ascii="Times New Roman" w:hAnsi="Times New Roman" w:cs="Times New Roman"/>
              </w:rPr>
              <w:t xml:space="preserve">deep conversation and then </w:t>
            </w:r>
            <w:r w:rsidR="001D0E76">
              <w:rPr>
                <w:rFonts w:ascii="Times New Roman" w:hAnsi="Times New Roman" w:cs="Times New Roman"/>
              </w:rPr>
              <w:t>leave that situation</w:t>
            </w:r>
            <w:r w:rsidR="009A61DC">
              <w:rPr>
                <w:rFonts w:ascii="Times New Roman" w:hAnsi="Times New Roman" w:cs="Times New Roman"/>
              </w:rPr>
              <w:t>. Once they leave that situation the individual can</w:t>
            </w:r>
            <w:r w:rsidR="001D0E76">
              <w:rPr>
                <w:rFonts w:ascii="Times New Roman" w:hAnsi="Times New Roman" w:cs="Times New Roman"/>
              </w:rPr>
              <w:t xml:space="preserve"> once again</w:t>
            </w:r>
            <w:r>
              <w:rPr>
                <w:rFonts w:ascii="Times New Roman" w:hAnsi="Times New Roman" w:cs="Times New Roman"/>
              </w:rPr>
              <w:t xml:space="preserve"> </w:t>
            </w:r>
            <w:r w:rsidR="009A61DC">
              <w:rPr>
                <w:rFonts w:ascii="Times New Roman" w:hAnsi="Times New Roman" w:cs="Times New Roman"/>
              </w:rPr>
              <w:t xml:space="preserve">return </w:t>
            </w:r>
            <w:r>
              <w:rPr>
                <w:rFonts w:ascii="Times New Roman" w:hAnsi="Times New Roman" w:cs="Times New Roman"/>
              </w:rPr>
              <w:t>to their anonymity without</w:t>
            </w:r>
            <w:r w:rsidR="001D0E76">
              <w:rPr>
                <w:rFonts w:ascii="Times New Roman" w:hAnsi="Times New Roman" w:cs="Times New Roman"/>
              </w:rPr>
              <w:t xml:space="preserve"> </w:t>
            </w:r>
            <w:r>
              <w:rPr>
                <w:rFonts w:ascii="Times New Roman" w:hAnsi="Times New Roman" w:cs="Times New Roman"/>
              </w:rPr>
              <w:t>commitment to furthering the relationship.</w:t>
            </w:r>
          </w:p>
          <w:p w14:paraId="321F73EF" w14:textId="77777777" w:rsidR="002433D1" w:rsidRDefault="002433D1">
            <w:pPr>
              <w:rPr>
                <w:rFonts w:ascii="Century Gothic" w:hAnsi="Century Gothic"/>
              </w:rPr>
            </w:pPr>
          </w:p>
          <w:p w14:paraId="7BAF7927" w14:textId="77777777" w:rsidR="002433D1" w:rsidRDefault="002433D1">
            <w:pPr>
              <w:rPr>
                <w:rFonts w:ascii="Century Gothic" w:hAnsi="Century Gothic"/>
              </w:rPr>
            </w:pPr>
          </w:p>
          <w:p w14:paraId="15C7CB80" w14:textId="77777777" w:rsidR="002433D1" w:rsidRDefault="002433D1">
            <w:pPr>
              <w:rPr>
                <w:rFonts w:ascii="Century Gothic" w:hAnsi="Century Gothic"/>
              </w:rPr>
            </w:pPr>
          </w:p>
          <w:p w14:paraId="2CD6AA91" w14:textId="77777777" w:rsidR="002433D1" w:rsidRDefault="002433D1">
            <w:pPr>
              <w:rPr>
                <w:rFonts w:ascii="Century Gothic" w:hAnsi="Century Gothic"/>
              </w:rPr>
            </w:pPr>
          </w:p>
          <w:p w14:paraId="425A57F0" w14:textId="77777777" w:rsidR="002433D1" w:rsidRDefault="002433D1">
            <w:pPr>
              <w:rPr>
                <w:rFonts w:ascii="Century Gothic" w:hAnsi="Century Gothic"/>
              </w:rPr>
            </w:pPr>
          </w:p>
        </w:tc>
      </w:tr>
    </w:tbl>
    <w:p w14:paraId="7057CA6F" w14:textId="77777777" w:rsidR="00D90331" w:rsidRPr="00D90331" w:rsidRDefault="00D90331" w:rsidP="002433D1">
      <w:pPr>
        <w:rPr>
          <w:rFonts w:ascii="Century Gothic" w:hAnsi="Century Gothic"/>
        </w:rPr>
      </w:pPr>
    </w:p>
    <w:sectPr w:rsidR="00D90331" w:rsidRPr="00D90331" w:rsidSect="00D9033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E6C31"/>
    <w:multiLevelType w:val="multilevel"/>
    <w:tmpl w:val="E768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6DB"/>
    <w:rsid w:val="00064B18"/>
    <w:rsid w:val="000D7386"/>
    <w:rsid w:val="000D7AFA"/>
    <w:rsid w:val="00116C76"/>
    <w:rsid w:val="001D0E76"/>
    <w:rsid w:val="002433D1"/>
    <w:rsid w:val="00263AC4"/>
    <w:rsid w:val="00411CE2"/>
    <w:rsid w:val="00415388"/>
    <w:rsid w:val="004335C5"/>
    <w:rsid w:val="004624AB"/>
    <w:rsid w:val="00471C89"/>
    <w:rsid w:val="004E2BAE"/>
    <w:rsid w:val="005063C9"/>
    <w:rsid w:val="005706AB"/>
    <w:rsid w:val="0058784F"/>
    <w:rsid w:val="005F6369"/>
    <w:rsid w:val="00634F38"/>
    <w:rsid w:val="0063527C"/>
    <w:rsid w:val="006B17F2"/>
    <w:rsid w:val="00715FD8"/>
    <w:rsid w:val="007346DB"/>
    <w:rsid w:val="00755E8B"/>
    <w:rsid w:val="007B471F"/>
    <w:rsid w:val="00814B5A"/>
    <w:rsid w:val="00916668"/>
    <w:rsid w:val="009A3C3D"/>
    <w:rsid w:val="009A61DC"/>
    <w:rsid w:val="009C24D2"/>
    <w:rsid w:val="00A50443"/>
    <w:rsid w:val="00A6307A"/>
    <w:rsid w:val="00A804DA"/>
    <w:rsid w:val="00AF047C"/>
    <w:rsid w:val="00B04CD2"/>
    <w:rsid w:val="00B2311A"/>
    <w:rsid w:val="00B5755E"/>
    <w:rsid w:val="00BA084E"/>
    <w:rsid w:val="00C2560C"/>
    <w:rsid w:val="00C909A0"/>
    <w:rsid w:val="00CB6A20"/>
    <w:rsid w:val="00D90331"/>
    <w:rsid w:val="00D971A7"/>
    <w:rsid w:val="00DA61FA"/>
    <w:rsid w:val="00DB6378"/>
    <w:rsid w:val="00DD0756"/>
    <w:rsid w:val="00DE2DE5"/>
    <w:rsid w:val="00E15D40"/>
    <w:rsid w:val="00E42D9A"/>
    <w:rsid w:val="00E552DD"/>
    <w:rsid w:val="00E67596"/>
    <w:rsid w:val="00E87A95"/>
    <w:rsid w:val="00E968E1"/>
    <w:rsid w:val="00EA110C"/>
    <w:rsid w:val="00EE592A"/>
    <w:rsid w:val="00EF305E"/>
    <w:rsid w:val="00EF3132"/>
    <w:rsid w:val="00F44F52"/>
    <w:rsid w:val="00F5715C"/>
    <w:rsid w:val="00F6216B"/>
    <w:rsid w:val="00F76F81"/>
    <w:rsid w:val="00F960C5"/>
    <w:rsid w:val="00FC31B9"/>
    <w:rsid w:val="00FE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3E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560C"/>
    <w:pPr>
      <w:autoSpaceDE w:val="0"/>
      <w:autoSpaceDN w:val="0"/>
      <w:adjustRightInd w:val="0"/>
    </w:pPr>
    <w:rPr>
      <w:rFonts w:ascii="MS Reference Sans Serif" w:hAnsi="MS Reference Sans Serif" w:cs="MS Reference Sans Serif"/>
      <w:color w:val="000000"/>
    </w:rPr>
  </w:style>
  <w:style w:type="character" w:styleId="Hyperlink">
    <w:name w:val="Hyperlink"/>
    <w:basedOn w:val="DefaultParagraphFont"/>
    <w:uiPriority w:val="99"/>
    <w:unhideWhenUsed/>
    <w:rsid w:val="00C2560C"/>
    <w:rPr>
      <w:color w:val="0563C1" w:themeColor="hyperlink"/>
      <w:u w:val="single"/>
    </w:rPr>
  </w:style>
  <w:style w:type="character" w:styleId="Emphasis">
    <w:name w:val="Emphasis"/>
    <w:basedOn w:val="DefaultParagraphFont"/>
    <w:uiPriority w:val="20"/>
    <w:qFormat/>
    <w:rsid w:val="00C2560C"/>
    <w:rPr>
      <w:i/>
      <w:iCs/>
    </w:rPr>
  </w:style>
  <w:style w:type="paragraph" w:customStyle="1" w:styleId="ng-binding">
    <w:name w:val="ng-binding"/>
    <w:basedOn w:val="Normal"/>
    <w:rsid w:val="00E552DD"/>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AF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329791">
      <w:bodyDiv w:val="1"/>
      <w:marLeft w:val="0"/>
      <w:marRight w:val="0"/>
      <w:marTop w:val="0"/>
      <w:marBottom w:val="0"/>
      <w:divBdr>
        <w:top w:val="none" w:sz="0" w:space="0" w:color="auto"/>
        <w:left w:val="none" w:sz="0" w:space="0" w:color="auto"/>
        <w:bottom w:val="none" w:sz="0" w:space="0" w:color="auto"/>
        <w:right w:val="none" w:sz="0" w:space="0" w:color="auto"/>
      </w:divBdr>
    </w:div>
    <w:div w:id="1176843221">
      <w:bodyDiv w:val="1"/>
      <w:marLeft w:val="0"/>
      <w:marRight w:val="0"/>
      <w:marTop w:val="0"/>
      <w:marBottom w:val="0"/>
      <w:divBdr>
        <w:top w:val="none" w:sz="0" w:space="0" w:color="auto"/>
        <w:left w:val="none" w:sz="0" w:space="0" w:color="auto"/>
        <w:bottom w:val="none" w:sz="0" w:space="0" w:color="auto"/>
        <w:right w:val="none" w:sz="0" w:space="0" w:color="auto"/>
      </w:divBdr>
    </w:div>
    <w:div w:id="1224834507">
      <w:bodyDiv w:val="1"/>
      <w:marLeft w:val="0"/>
      <w:marRight w:val="0"/>
      <w:marTop w:val="0"/>
      <w:marBottom w:val="0"/>
      <w:divBdr>
        <w:top w:val="none" w:sz="0" w:space="0" w:color="auto"/>
        <w:left w:val="none" w:sz="0" w:space="0" w:color="auto"/>
        <w:bottom w:val="none" w:sz="0" w:space="0" w:color="auto"/>
        <w:right w:val="none" w:sz="0" w:space="0" w:color="auto"/>
      </w:divBdr>
    </w:div>
    <w:div w:id="1297641497">
      <w:bodyDiv w:val="1"/>
      <w:marLeft w:val="0"/>
      <w:marRight w:val="0"/>
      <w:marTop w:val="0"/>
      <w:marBottom w:val="0"/>
      <w:divBdr>
        <w:top w:val="none" w:sz="0" w:space="0" w:color="auto"/>
        <w:left w:val="none" w:sz="0" w:space="0" w:color="auto"/>
        <w:bottom w:val="none" w:sz="0" w:space="0" w:color="auto"/>
        <w:right w:val="none" w:sz="0" w:space="0" w:color="auto"/>
      </w:divBdr>
    </w:div>
    <w:div w:id="1786192352">
      <w:bodyDiv w:val="1"/>
      <w:marLeft w:val="0"/>
      <w:marRight w:val="0"/>
      <w:marTop w:val="0"/>
      <w:marBottom w:val="0"/>
      <w:divBdr>
        <w:top w:val="none" w:sz="0" w:space="0" w:color="auto"/>
        <w:left w:val="none" w:sz="0" w:space="0" w:color="auto"/>
        <w:bottom w:val="none" w:sz="0" w:space="0" w:color="auto"/>
        <w:right w:val="none" w:sz="0" w:space="0" w:color="auto"/>
      </w:divBdr>
    </w:div>
    <w:div w:id="1804037418">
      <w:bodyDiv w:val="1"/>
      <w:marLeft w:val="0"/>
      <w:marRight w:val="0"/>
      <w:marTop w:val="0"/>
      <w:marBottom w:val="0"/>
      <w:divBdr>
        <w:top w:val="none" w:sz="0" w:space="0" w:color="auto"/>
        <w:left w:val="none" w:sz="0" w:space="0" w:color="auto"/>
        <w:bottom w:val="none" w:sz="0" w:space="0" w:color="auto"/>
        <w:right w:val="none" w:sz="0" w:space="0" w:color="auto"/>
      </w:divBdr>
    </w:div>
    <w:div w:id="20822171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891/RE-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11/iops.12134" TargetMode="External"/><Relationship Id="rId5" Type="http://schemas.openxmlformats.org/officeDocument/2006/relationships/hyperlink" Target="https://doi.org/10.16993/sjdr.5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4</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Furcinito, Ann Marie</cp:lastModifiedBy>
  <cp:revision>47</cp:revision>
  <dcterms:created xsi:type="dcterms:W3CDTF">2021-07-28T22:36:00Z</dcterms:created>
  <dcterms:modified xsi:type="dcterms:W3CDTF">2021-07-31T23:02:00Z</dcterms:modified>
</cp:coreProperties>
</file>